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-723899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-723899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ADVERTISING AND PUBLIC RELATIONS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APR 8622 – MEDIA LAW AND ETHICS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Hour</w:t>
        <w:tab/>
        <w:tab/>
        <w:tab/>
        <w:tab/>
        <w:tab/>
        <w:tab/>
        <w:tab/>
        <w:tab/>
        <w:tab/>
        <w:t xml:space="preserve">    Max Marks: 25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Answer any ONE of the following questions in 200 words each:</w:t>
        <w:tab/>
        <w:tab/>
        <w:t xml:space="preserve">  (1X5=5)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Censorship in India.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Right to Privacy in India.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Answer any TWO of the following questions in 250 words each:</w:t>
        <w:tab/>
        <w:tab/>
        <w:t xml:space="preserve">(2X10=20)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Copyright, its validity and infringement.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Evaluate the types of work protected under copyright with suitable examples.  Enumerate the procedure for filing copyright in India.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Anlayse how sedition and hate speech cause violence and public disorder in India. Explain those laws prevailing in India with suitable examples.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major norms of journalistic code of conduct formulated by the Press Council of India.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1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  <w:t xml:space="preserve">APR 8622_A_23</w:t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-314324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