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985"/>
          <w:tab w:val="left" w:leader="none" w:pos="4253"/>
        </w:tabs>
        <w:spacing w:line="360" w:lineRule="auto"/>
        <w:ind w:left="360" w:right="-330" w:firstLine="0"/>
        <w:jc w:val="both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762000" cy="781050"/>
            <wp:effectExtent b="0" l="0" r="0" t="0"/>
            <wp:docPr descr="col LOGO outline" id="2" name="image1.jpg"/>
            <a:graphic>
              <a:graphicData uri="http://schemas.openxmlformats.org/drawingml/2006/picture">
                <pic:pic>
                  <pic:nvPicPr>
                    <pic:cNvPr descr="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6163" y="3401858"/>
                          <a:ext cx="2479675" cy="756285"/>
                        </a:xfrm>
                        <a:custGeom>
                          <a:rect b="b" l="l" r="r" t="t"/>
                          <a:pathLst>
                            <a:path extrusionOk="0" h="756285" w="2479675">
                              <a:moveTo>
                                <a:pt x="0" y="0"/>
                              </a:moveTo>
                              <a:lnTo>
                                <a:pt x="0" y="756285"/>
                              </a:lnTo>
                              <a:lnTo>
                                <a:pt x="2479675" y="756285"/>
                              </a:lnTo>
                              <a:lnTo>
                                <a:pt x="2479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Register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3924300</wp:posOffset>
                </wp:positionH>
                <wp:positionV relativeFrom="paragraph">
                  <wp:posOffset>88900</wp:posOffset>
                </wp:positionV>
                <wp:extent cx="2492375" cy="76898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2375" cy="768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ST. JOSEPH’S COLLEGE (AUTONOMOUS), BANGALORE-27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BBA/BBASF – VI SEMESTER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 2023)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BBADEB6519: RISK MANAGEMENT FOR BANKS AND INSURANCE COMPANIES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pStyle w:val="Title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Time- 2 ½ hrs</w:t>
        <w:tab/>
        <w:tab/>
        <w:tab/>
        <w:tab/>
        <w:tab/>
        <w:tab/>
        <w:tab/>
        <w:tab/>
        <w:t xml:space="preserve">Max Marks-70</w:t>
      </w:r>
    </w:p>
    <w:p w:rsidR="00000000" w:rsidDel="00000000" w:rsidP="00000000" w:rsidRDefault="00000000" w:rsidRPr="00000000" w14:paraId="0000000A">
      <w:pPr>
        <w:pStyle w:val="Title"/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360" w:hanging="360"/>
        <w:jc w:val="center"/>
        <w:rPr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paper contains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printed pages and four parts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A 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five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5x2 = 10 Marks)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risk management?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the purpose of risk pooling.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any four benefits of FinTech companies.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the meaning of banking ombudsman.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reputational risk?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any 4 principles of insurance.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three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3x5 = 15 Marks)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analytical note on liquidity and market risks.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Briefly explain the process of risk diversification.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the various hedging strategies of banking risk.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Summarize the check list for marine risk prevention.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C 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any two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 the following </w:t>
        <w:tab/>
        <w:tab/>
        <w:tab/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2x15 = 30 Marks)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short note on: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 reserve ratio</w:t>
        <w:tab/>
        <w:t xml:space="preserve">(3 marks)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Statutory liquidity ratio</w:t>
        <w:tab/>
        <w:t xml:space="preserve">(3 marks)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 rate</w:t>
        <w:tab/>
        <w:t xml:space="preserve">(3 marks)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Reverse repo</w:t>
        <w:tab/>
        <w:t xml:space="preserve">(3 marks)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Marginal cost of funds based leading rate</w:t>
        <w:tab/>
        <w:t xml:space="preserve">(3 marks)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Elaborate the Basel norms with reference to risk management for banks.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“Your insurance plan can stay on a resilient and agile track and ensure every risk is evaluated based on risk management technique”. Discuss the various risk management techniques associated with insurance.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35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D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IV. Answer the following</w:t>
        <w:tab/>
        <w:tab/>
        <w:tab/>
        <w:tab/>
        <w:tab/>
        <w:t xml:space="preserve">(1x15=15 Marks)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168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Insurers in India lack sufficient capital, and their financial health, particularly that of the public-sector insurers, is in a precarious state. Among the public-sector general insurers, the financial situation of the ailing National Insurance Company is a cause for concern. Even though the Government of India has already infused Rs. 25 billion in the three public-sector insurers – National Insurance, Oriental Insurance, and United India Insurance – through the first batch of 'supplementary demands for grants for FY20, these insurers require an additional Rs. 100-120 billion in order to meet the stipulated solvency margin.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8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general insurance industry recorded a decrease in profits, with public-sector general insurers posting losses, and their private-sector counterparts recording a slight fall in profits in FY19, relative to FY18. While premiums are still growing, the general insurance industry is experiencing underwriting losses, which increased by 45.5% for general insurers in FY19 compared to the previous year (IRDAI, 2019).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A. From the above case explain the role of general insurance companies in loss minimization.</w:t>
        <w:tab/>
        <w:t xml:space="preserve">(8 marks)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left" w:leader="none" w:pos="6643"/>
        </w:tabs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Elucidate the check list for fire prevention on constructions site.</w:t>
        <w:tab/>
        <w:t xml:space="preserve">(7 marks)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6984"/>
        </w:tabs>
        <w:rPr/>
      </w:pPr>
      <w:r w:rsidDel="00000000" w:rsidR="00000000" w:rsidRPr="00000000">
        <w:rPr>
          <w:rtl w:val="0"/>
        </w:rPr>
        <w:tab/>
      </w:r>
    </w:p>
    <w:sectPr>
      <w:pgSz w:h="16838" w:w="11906" w:orient="portrait"/>
      <w:pgMar w:bottom="567" w:top="851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