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B.Com–VI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BCDEF6518 Stock and Commodity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______ printed pages and 4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  Answer any five of the following                                 </w:t>
        <w:tab/>
        <w:t xml:space="preserve">(5 X 2 marks= 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Buyback of shares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full form of </w:t>
        <w:br w:type="textWrapping"/>
        <w:t xml:space="preserve">a) FMC</w:t>
        <w:br w:type="textWrapping"/>
        <w:t xml:space="preserve">b) NSDL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derivatives.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functions of commodity exchange.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Full service broker.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rematerialisation?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 B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Answer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following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          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x 5 marks= 15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methods of issue of securities in the primary market.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five functions of the stock exchange.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different types of orders under the order driven system of commodity markets.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Enlist any five objectives of the commodity market.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Answer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         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15 marks= 30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Expand and explain NSE.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[7.5 Marks]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Expand and explain BSE.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[7.5 Marks]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Elucidate the difference between primary and secondary markets.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Explain the trading pattern of commodity exchanges in India.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Answer the following </w:t>
        <w:tab/>
        <w:tab/>
        <w:tab/>
        <w:tab/>
        <w:tab/>
        <w:t xml:space="preserve">                   </w:t>
        <w:tab/>
        <w:t xml:space="preserve">(15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Xavier is interested in trading in the commodity market. He has purchased a four month futures contract on Almonds. As an expert you are asked to brief Mr. Xavier about the various specifications mentioned in the Futures contract.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BC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DEF6518 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