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spacing w:after="0" w:line="240" w:lineRule="auto"/>
        <w:ind w:left="360" w:right="-330" w:firstLine="0"/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762000" cy="781050"/>
            <wp:effectExtent b="0" l="0" r="0" t="0"/>
            <wp:docPr descr="col LOGO outline" id="3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-139699</wp:posOffset>
                </wp:positionV>
                <wp:extent cx="2545715" cy="5848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77905" y="3492345"/>
                          <a:ext cx="25361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-139699</wp:posOffset>
                </wp:positionV>
                <wp:extent cx="2545715" cy="5848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715" cy="584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B.Com IFA – VI SEMESTER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BCIFADEA6619: ADVANCED PERFORMANCE MANAGEMENT II</w:t>
      </w:r>
    </w:p>
    <w:p w:rsidR="00000000" w:rsidDel="00000000" w:rsidP="00000000" w:rsidRDefault="00000000" w:rsidRPr="00000000" w14:paraId="00000007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½ hrs</w:t>
        <w:tab/>
        <w:tab/>
        <w:tab/>
        <w:t xml:space="preserve">                                 </w:t>
        <w:tab/>
        <w:tab/>
        <w:t xml:space="preserve">Max Marks-70</w:t>
      </w:r>
    </w:p>
    <w:p w:rsidR="00000000" w:rsidDel="00000000" w:rsidP="00000000" w:rsidRDefault="00000000" w:rsidRPr="00000000" w14:paraId="00000008">
      <w:pPr>
        <w:pStyle w:val="Title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60" w:hanging="36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contains 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x 5 = 10 marks)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sensitivity analysis?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will you improve ROCE?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short note on HRM.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short on risk appetite of employees.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the benefits of league table.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any two advantages of artificial intelligence.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325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x 3 = 15 marks)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problems associated with divisional structure.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reward system? What are its purposes?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you assess value for money?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JIT? Briefly explain the key requirements for its successful operation.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 x 2 = 30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methods of measuring financial performance of private sector organisation.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transfer pricing? Explain its general rules and practical consideration.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the problems encountered by the performance managers while measuring the performance of not-for profit organisation.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</w:t>
        <w:tab/>
        <w:tab/>
        <w:tab/>
        <w:tab/>
        <w:tab/>
        <w:t xml:space="preserve">                   </w:t>
        <w:tab/>
        <w:t xml:space="preserve">(15 marks)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role of the following management accounting techniques towards the analysis of the relationship between cost and quality: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TQM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Balanced scorecard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Value analysis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ABC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*****</w:t>
      </w:r>
    </w:p>
    <w:sectPr>
      <w:footerReference r:id="rId8" w:type="default"/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183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