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99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843915" cy="808355"/>
            <wp:effectExtent b="0" l="0" r="0" t="0"/>
            <wp:wrapNone/>
            <wp:docPr descr="Description: col LOGO outline" id="3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08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-266699</wp:posOffset>
                </wp:positionV>
                <wp:extent cx="2489200" cy="7658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-266699</wp:posOffset>
                </wp:positionV>
                <wp:extent cx="2489200" cy="7658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UG –VI SEMESTER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7">
      <w:pPr>
        <w:spacing w:line="360" w:lineRule="auto"/>
        <w:ind w:left="-99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BCIFA 6419: ADVANCED FINANCIAL MANAGEMENT-II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-99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 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1/2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Hour</w:t>
        <w:tab/>
        <w:tab/>
        <w:tab/>
        <w:tab/>
        <w:tab/>
        <w:tab/>
        <w:tab/>
        <w:t xml:space="preserve">MAX. MARKS:  70 Marks                        </w:t>
        <w:tab/>
        <w:tab/>
        <w:t xml:space="preserve">       </w:t>
        <w:tab/>
        <w:tab/>
        <w:t xml:space="preserve"> </w:t>
        <w:tab/>
      </w:r>
    </w:p>
    <w:p w:rsidR="00000000" w:rsidDel="00000000" w:rsidP="00000000" w:rsidRDefault="00000000" w:rsidRPr="00000000" w14:paraId="0000000B">
      <w:pPr>
        <w:ind w:left="360" w:hanging="36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FIVE of the following questions. Each question carries two marks. </w:t>
        <w:tab/>
        <w:t xml:space="preserve">(5x2=10)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Indicate, whether the following statements concerning credit rating are true 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credit rating indicates the rating agency’s opinion on the probability of default on the rated instrument.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0" w:line="240" w:lineRule="auto"/>
        <w:ind w:left="1211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Credit spreads are generally calculated by the companies and banks, which aids the rating agencies for further processing their rating.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current spot exchange rate between USD and GBP is 77.4325/$1. The US annual interest rate is 3.75% pa and the Indian annual interest rate is 6.75% pa. What should be the forward rate for USD/GBP at the end of year-1?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 Interest rate guarantee (IRG)?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Translation risk.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out any four methods of business valuation.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</w:rPr>
        <w:sectPr>
          <w:pgSz w:h="15840" w:w="12240" w:orient="portrait"/>
          <w:pgMar w:bottom="1440" w:top="720" w:left="1080" w:right="99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Match the following and choose the correct option given below;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before="280" w:line="240" w:lineRule="auto"/>
        <w:ind w:left="1637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Free trade area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before="0" w:line="240" w:lineRule="auto"/>
        <w:ind w:left="1637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Customs Union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before="0" w:line="240" w:lineRule="auto"/>
        <w:ind w:left="1637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Multi-lateral agreement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280" w:before="0" w:line="240" w:lineRule="auto"/>
        <w:ind w:left="1637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Single Market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ECOWAS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NAFTA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720" w:left="1080" w:right="990" w:header="720" w:footer="720"/>
          <w:cols w:equalWidth="0" w:num="2">
            <w:col w:space="166" w:w="5002"/>
            <w:col w:space="0" w:w="500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MERCOSUR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7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153"/>
        <w:gridCol w:w="806"/>
        <w:gridCol w:w="806"/>
        <w:gridCol w:w="806"/>
        <w:gridCol w:w="806"/>
        <w:tblGridChange w:id="0">
          <w:tblGrid>
            <w:gridCol w:w="1153"/>
            <w:gridCol w:w="806"/>
            <w:gridCol w:w="806"/>
            <w:gridCol w:w="806"/>
            <w:gridCol w:w="806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Option-1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</w:t>
            </w:r>
          </w:p>
        </w:tc>
      </w:tr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Option-2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Option-3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</w:t>
            </w:r>
          </w:p>
        </w:tc>
      </w:tr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Option-4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38">
      <w:pPr>
        <w:spacing w:after="280" w:before="280" w:lineRule="auto"/>
        <w:rPr>
          <w:rFonts w:ascii="Arial" w:cs="Arial" w:eastAsia="Arial" w:hAnsi="Arial"/>
          <w:color w:val="000000"/>
        </w:rPr>
        <w:sectPr>
          <w:type w:val="continuous"/>
          <w:pgSz w:h="15840" w:w="12240" w:orient="portrait"/>
          <w:pgMar w:bottom="1440" w:top="720" w:left="1080" w:right="99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B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of the following questions. Each question carries five marks. </w:t>
        <w:tab/>
        <w:t xml:space="preserve">(3x5=15)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short note on ‘The  housing bubble’  and its impact on the international capital-flow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various internal methods of hedging transaction risk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Better-Luck is a project carried out by an Australian subsidiary of a UK company which is expecting to receive the revenues of $200m in Sidney with estimated cost of $120m. $50m will be paid by the Australian subsidiary to UK as part of patent right which is held by the parent company. Tax to be paid at 25% in Australia and 33% in UK. Assuming the forecasted £/$ spot rate of $1.45/1£. Calculate the cashflow and tax to be paid by the parent company.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various components of the International Capital Markets.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2143"/>
          <w:tab w:val="center" w:leader="none" w:pos="508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questions.  Each question carries fifteen marks. </w:t>
        <w:tab/>
        <w:t xml:space="preserve">(2x15=30)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various types of trade barriers, trade agreements and common markets. Discuss their impact on the international business.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IOC Co has just paid a dividend of 25 cents per share. The return on equities in this risk class is 20%. Calculate the value of the shares assuming: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growth in dividends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constant growth of 5% pa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KJ operates in the advertising industry. The directors are keen to value the company for the purposes of negotiating with a potential purchaser and plan to use the CIV method to value the intangible element.  In the past year KJ made an operating profit of $137.4 million on an asset base of $307 million. The company WACC is 4.5%. A suitable competitor for benchmarking has been identified as KP. KP made an operating profit of $315 million on assets employed in the business of $1,583 million. Corporation tax is 35%. Calculate the value of JK, including the CIV.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following;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Choke Co has an AA credit rating. It has $30m of 2 year bonds in issue, which are trading at $90%, and $50m of 8 year bonds which are trading at $108%. The risk free rate is 2.5% and the corporation tax rate is 30%.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is the credit spread given by Crisil.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899160</wp:posOffset>
            </wp:positionH>
            <wp:positionV relativeFrom="paragraph">
              <wp:posOffset>69215</wp:posOffset>
            </wp:positionV>
            <wp:extent cx="5469890" cy="99822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40153" l="0" r="0" t="12238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998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required to calculate the company's post-tax cost of debt capital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(7 Marks)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1211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enumerate the role of credit rating agencies.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(8 Marks)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D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 compulsory question.  The question carries Fifteen marks. </w:t>
        <w:tab/>
        <w:t xml:space="preserve">(1x15=15)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 Plus Plc is considering international expansion by taking over Port Company, a manufacturing company based in a foreign country (whose currency is AUD).  According to the most recent accounts of Port Co, its revenue are given below</w:t>
      </w:r>
    </w:p>
    <w:tbl>
      <w:tblPr>
        <w:tblStyle w:val="Table2"/>
        <w:tblW w:w="5752.0" w:type="dxa"/>
        <w:jc w:val="left"/>
        <w:tblInd w:w="1427.0" w:type="dxa"/>
        <w:tblLayout w:type="fixed"/>
        <w:tblLook w:val="0400"/>
      </w:tblPr>
      <w:tblGrid>
        <w:gridCol w:w="1438"/>
        <w:gridCol w:w="1438"/>
        <w:gridCol w:w="1438"/>
        <w:gridCol w:w="1438"/>
        <w:tblGridChange w:id="0">
          <w:tblGrid>
            <w:gridCol w:w="1438"/>
            <w:gridCol w:w="1438"/>
            <w:gridCol w:w="1438"/>
            <w:gridCol w:w="1438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Particulars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Year-1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Year-2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Year-3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Revenue (AUD$  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39.75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67.42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71.46 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variable costs and other expenses of company amounts to 40% of the revenue. Capital expenditure in the most recent year was AUD $33m and the depreciation is charged on a straight line method for three years. If MG Plus Plc takes over Port Co, it expects growth in revenue and expenditure to be 3% per annum, and capital expenditure and depreciation to stay constant. The tax rate in the foreign country is 30% per annum.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any year, the foreign country allows only 50% of the profit earned to be remitted. The blocked funds is released at the end of the project. The current exchange rate is AUD $2 = $1 ($ is the home currency of MG Plus, the US Dollar), and this is expected to stay constant for the foreseeable future. The US tax rate is 30%.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Required: Evaluate the project if MG Plus Plc expects 12% return from this acquisition.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exchange controls? Explain various strategies to deal with exchange controls.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 marks)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 End of Question Paper *****************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720" w:left="1080" w:right="99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0"/>
      <w:numFmt w:val="decimal"/>
      <w:lvlText w:val="%4."/>
      <w:lvlJc w:val="left"/>
      <w:pPr>
        <w:ind w:left="2880" w:hanging="360"/>
      </w:pPr>
      <w:rPr/>
    </w:lvl>
    <w:lvl w:ilvl="4">
      <w:start w:val="0"/>
      <w:numFmt w:val="decimal"/>
      <w:lvlText w:val="%5."/>
      <w:lvlJc w:val="left"/>
      <w:pPr>
        <w:ind w:left="3600" w:hanging="360"/>
      </w:pPr>
      <w:rPr/>
    </w:lvl>
    <w:lvl w:ilvl="5">
      <w:start w:val="0"/>
      <w:numFmt w:val="decimal"/>
      <w:lvlText w:val="%6."/>
      <w:lvlJc w:val="left"/>
      <w:pPr>
        <w:ind w:left="4320" w:hanging="360"/>
      </w:pPr>
      <w:rPr/>
    </w:lvl>
    <w:lvl w:ilvl="6">
      <w:start w:val="0"/>
      <w:numFmt w:val="decimal"/>
      <w:lvlText w:val="%7."/>
      <w:lvlJc w:val="left"/>
      <w:pPr>
        <w:ind w:left="5040" w:hanging="360"/>
      </w:pPr>
      <w:rPr/>
    </w:lvl>
    <w:lvl w:ilvl="7">
      <w:start w:val="0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2291" w:hanging="360"/>
      </w:pPr>
      <w:rPr/>
    </w:lvl>
    <w:lvl w:ilvl="2">
      <w:start w:val="1"/>
      <w:numFmt w:val="lowerRoman"/>
      <w:lvlText w:val="%3."/>
      <w:lvlJc w:val="right"/>
      <w:pPr>
        <w:ind w:left="3011" w:hanging="180"/>
      </w:pPr>
      <w:rPr/>
    </w:lvl>
    <w:lvl w:ilvl="3">
      <w:start w:val="1"/>
      <w:numFmt w:val="decimal"/>
      <w:lvlText w:val="%4."/>
      <w:lvlJc w:val="left"/>
      <w:pPr>
        <w:ind w:left="3731" w:hanging="360"/>
      </w:pPr>
      <w:rPr/>
    </w:lvl>
    <w:lvl w:ilvl="4">
      <w:start w:val="1"/>
      <w:numFmt w:val="lowerLetter"/>
      <w:lvlText w:val="%5."/>
      <w:lvlJc w:val="left"/>
      <w:pPr>
        <w:ind w:left="4451" w:hanging="360"/>
      </w:pPr>
      <w:rPr/>
    </w:lvl>
    <w:lvl w:ilvl="5">
      <w:start w:val="1"/>
      <w:numFmt w:val="lowerRoman"/>
      <w:lvlText w:val="%6."/>
      <w:lvlJc w:val="right"/>
      <w:pPr>
        <w:ind w:left="5171" w:hanging="180"/>
      </w:pPr>
      <w:rPr/>
    </w:lvl>
    <w:lvl w:ilvl="6">
      <w:start w:val="1"/>
      <w:numFmt w:val="decimal"/>
      <w:lvlText w:val="%7."/>
      <w:lvlJc w:val="left"/>
      <w:pPr>
        <w:ind w:left="5891" w:hanging="360"/>
      </w:pPr>
      <w:rPr/>
    </w:lvl>
    <w:lvl w:ilvl="7">
      <w:start w:val="1"/>
      <w:numFmt w:val="lowerLetter"/>
      <w:lvlText w:val="%8."/>
      <w:lvlJc w:val="left"/>
      <w:pPr>
        <w:ind w:left="6611" w:hanging="360"/>
      </w:pPr>
      <w:rPr/>
    </w:lvl>
    <w:lvl w:ilvl="8">
      <w:start w:val="1"/>
      <w:numFmt w:val="lowerRoman"/>
      <w:lvlText w:val="%9."/>
      <w:lvlJc w:val="right"/>
      <w:pPr>
        <w:ind w:left="7331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637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0"/>
      <w:numFmt w:val="decimal"/>
      <w:lvlText w:val="%4."/>
      <w:lvlJc w:val="left"/>
      <w:pPr>
        <w:ind w:left="2880" w:hanging="360"/>
      </w:pPr>
      <w:rPr/>
    </w:lvl>
    <w:lvl w:ilvl="4">
      <w:start w:val="0"/>
      <w:numFmt w:val="decimal"/>
      <w:lvlText w:val="%5."/>
      <w:lvlJc w:val="left"/>
      <w:pPr>
        <w:ind w:left="3600" w:hanging="360"/>
      </w:pPr>
      <w:rPr/>
    </w:lvl>
    <w:lvl w:ilvl="5">
      <w:start w:val="0"/>
      <w:numFmt w:val="decimal"/>
      <w:lvlText w:val="%6."/>
      <w:lvlJc w:val="left"/>
      <w:pPr>
        <w:ind w:left="4320" w:hanging="360"/>
      </w:pPr>
      <w:rPr/>
    </w:lvl>
    <w:lvl w:ilvl="6">
      <w:start w:val="0"/>
      <w:numFmt w:val="decimal"/>
      <w:lvlText w:val="%7."/>
      <w:lvlJc w:val="left"/>
      <w:pPr>
        <w:ind w:left="5040" w:hanging="360"/>
      </w:pPr>
      <w:rPr/>
    </w:lvl>
    <w:lvl w:ilvl="7">
      <w:start w:val="0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