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ST JOSEPH’S UNIVERSITY, BENGALURU -27</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M.Sc. Biotechnology- II SEMESTER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BTDE8522: MULTIOMICS TECHNOLOGIES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                                                                                            </w:t>
        <w:tab/>
        <w:t xml:space="preserve">Max Marks: 50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printed page and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SEVEN of the following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 xml:space="preserve">   2m x 7 = 14 marks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cancer gene panel? Mention one application.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ATAC Sequencing? How is this different from MNase Sequencing.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2D gel electrophoresis? Write one of its applications.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targeted metabolomics?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Drop-Seq. What is its application?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SILAC?</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metabolic engineering?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KEGG?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Cell free Biosynthesis?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B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FOUR of the following: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tab/>
        <w:tab/>
        <w:t xml:space="preserve">               5m x 4 = 20 marks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Metagenomics? Mention a few applications of metagenomics.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researcher wants to identify the methylation pattern among the drought resistant cultivar of wheat. Which technique do you suggest he should consider, with using NGS.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Bottom up and Top down proteomics.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single cell epigenomics? Explain with an illustration the strategy of single cell ATAC sequencing.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pathway engineering? Illustrate an example.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metabolic networks? Describe any two metabolic network databases.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C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Answer any TWO of the following: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ab/>
        <w:tab/>
        <w:tab/>
        <w:t xml:space="preserve">                8m x 2 = 16 marks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cancer patient approached a physician for personalized medicine. Being a biotechnologist specialized in multomics, design a strategy of NGS based sequencing approach to identify the cancer type, and suggest the plan of treatment to the physician based on other multiomics approaches such as proteomics and metabolomics as well.</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bottom up proteomics? Write down about the detailed strategy of labeled differential bottom up proteomics approach.</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researcher wants to engineer a plant for producing a secondary metabolite on a commercial scale. Using strategies of omics, synthetic and systems biology, suggest a design to help him achieve this objective.</w:t>
      </w:r>
    </w:p>
    <w:sectPr>
      <w:headerReference r:id="rId6" w:type="default"/>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384810</wp:posOffset>
          </wp:positionV>
          <wp:extent cx="915670" cy="86169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670" cy="8616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