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-723899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-723899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Economics 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ECADE 6618: Economic Doctrines 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TEN                                                                 (3 X 10=30 marks)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history of economic thought and economic history.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three factors that led to the rise of physiocracy.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Adam Smith’s naturalism?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prime and supplementary costs.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under-consumption theory of trade cycle?  Who developed this theory?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compensation principle?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Gossen’s first law?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three features of marginal school of thought.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state of wantlessness?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bread labour? Who used this expression?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product differentiation.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preventive and positive checks?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                                                               (5 X 2= 10 marks)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Village Sarvodaya.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Ricardian theory of rent.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Plato’s origin of state.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                                                             (15 X 2= 30 marks)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nature and scope of History of Economic Thought.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contributions of Alfred Marshall.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Elaborate on the economic ideas of J.K. Mehta.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