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1014413" cy="95293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5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 (ENGLISH)– III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OCTOBER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November /December 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OE 322 – OPTIONAL ENGLISH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pages and 4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permitted to use a dictionary.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Kindly stick to the suggested word limit.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the following questions in 150-200 words: (2x10=20)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 the Renaissance reshape society–art, culture, politics–and influence contemporary life and culture?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role did the writings of women like Aphra Behn and Mrs Crackenthorpe play in broadening the discourse on women’s rights and opportunities?</w:t>
      </w:r>
    </w:p>
    <w:p w:rsidR="00000000" w:rsidDel="00000000" w:rsidP="00000000" w:rsidRDefault="00000000" w:rsidRPr="00000000" w14:paraId="00000013">
      <w:pPr>
        <w:spacing w:after="0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Read the following excerpt from Shakespeare’s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Macbeth: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When first they put the name of king upon me,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And bade them speak to him: then, prophet-like,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They hail'd him father to a line of kings: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Upon my head they placed a fruitless crown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And put a barren sceptre in my gripe,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Thence to be wrench'd with an unlineal hand,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No son of mine succeeding. If't be so, 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For Banquo's issue have I filed my mind;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For them the gracious Duncan have I murder'd;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Put rancours in the vessel of my peace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Only for them, and mine eternal jewel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Given to the common enemy of man,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To make them kings, the seed of Banquo kings!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Rather than so, come, Fate, into the list,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74151"/>
          <w:sz w:val="24"/>
          <w:szCs w:val="24"/>
          <w:rtl w:val="0"/>
        </w:rPr>
        <w:t xml:space="preserve">And champion me to the utterance!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II.A. Answer the following questions in 5-6 lines: (5x4=20)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interpret words like “fruitless” and “barren” in the above excerpt?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the role of the supernatural in Macbeth’s increasing madness and inner turmoil.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and explain a moment in the excerpt that indicates Macbeth’s moral decline.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does this soliloquy set the stage for following events?</w:t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ONE of the following questions in 150-200 words: (1x10=10)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how Aphra Behn’s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Rover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represents issues of societal expectations,  female desire, and agency through its female protagonists.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what way does  Queen Elizabeth’s TIlbury Speech seem relevant in contemporary issues of gender and leadership?</w:t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ANY TWO of the following questions in 5-6 lines: (2x5=10)</w:t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59" w:lineRule="auto"/>
        <w:ind w:left="144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kind of writing style did the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Female Tatler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adopt to engage with its readers?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59" w:lineRule="auto"/>
        <w:ind w:left="144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John Donne’s use of non-traditional imagery and its effect.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59" w:lineRule="auto"/>
        <w:ind w:left="144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makes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Marriage-a-la-mode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tragic-comedy?</w:t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  <w:t xml:space="preserve">OE 322_A_23</w:t>
    </w:r>
  </w:p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+fW5l/qsi60k02Hq5cl5tisdA==">CgMxLjA4AHIhMTVVV09GR1NjMkEweFZoTGV1VUF1eUQ5b1BlNlBPY2JI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