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BE0D4" w14:textId="65E5E779" w:rsidR="004C6454" w:rsidRPr="004B076B" w:rsidRDefault="00B67FDA" w:rsidP="004C6454">
      <w:pPr>
        <w:spacing w:after="0" w:line="240" w:lineRule="auto"/>
        <w:jc w:val="center"/>
        <w:rPr>
          <w:rFonts w:ascii="Arial" w:hAnsi="Arial" w:cs="Arial"/>
          <w:b/>
          <w:bCs/>
          <w:sz w:val="20"/>
          <w:szCs w:val="20"/>
          <w:lang w:val="en-US"/>
        </w:rPr>
      </w:pPr>
      <w:r w:rsidRPr="004B076B">
        <w:rPr>
          <w:rFonts w:ascii="Arial" w:hAnsi="Arial" w:cs="Arial"/>
          <w:b/>
          <w:bCs/>
          <w:noProof/>
          <w:lang w:val="en-US"/>
        </w:rPr>
        <mc:AlternateContent>
          <mc:Choice Requires="wps">
            <w:drawing>
              <wp:anchor distT="0" distB="0" distL="114300" distR="114300" simplePos="0" relativeHeight="251659264" behindDoc="0" locked="0" layoutInCell="1" allowOverlap="1" wp14:anchorId="4F106652" wp14:editId="6326E32C">
                <wp:simplePos x="0" y="0"/>
                <wp:positionH relativeFrom="margin">
                  <wp:posOffset>4015740</wp:posOffset>
                </wp:positionH>
                <wp:positionV relativeFrom="paragraph">
                  <wp:posOffset>-22860</wp:posOffset>
                </wp:positionV>
                <wp:extent cx="2529840" cy="381000"/>
                <wp:effectExtent l="0" t="0" r="22860" b="19050"/>
                <wp:wrapNone/>
                <wp:docPr id="1" name="Rectangle 1"/>
                <wp:cNvGraphicFramePr/>
                <a:graphic xmlns:a="http://schemas.openxmlformats.org/drawingml/2006/main">
                  <a:graphicData uri="http://schemas.microsoft.com/office/word/2010/wordprocessingShape">
                    <wps:wsp>
                      <wps:cNvSpPr/>
                      <wps:spPr>
                        <a:xfrm>
                          <a:off x="0" y="0"/>
                          <a:ext cx="2529840" cy="38100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90F45" id="Rectangle 1" o:spid="_x0000_s1026" style="position:absolute;margin-left:316.2pt;margin-top:-1.8pt;width:199.2pt;height:3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" filled="f" strokecolor="black [3200]" strokeweight="1pt">
                <w10:wrap anchorx="margin"/>
              </v:rect>
            </w:pict>
          </mc:Fallback>
        </mc:AlternateContent>
      </w:r>
      <w:r w:rsidR="004C6454" w:rsidRPr="004B076B">
        <w:rPr>
          <w:rFonts w:ascii="Arial" w:hAnsi="Arial" w:cs="Arial"/>
          <w:b/>
          <w:bCs/>
          <w:lang w:val="en-US"/>
        </w:rPr>
        <w:t xml:space="preserve">                                                     </w:t>
      </w:r>
      <w:r w:rsidR="00C170C6" w:rsidRPr="004B076B">
        <w:rPr>
          <w:rFonts w:ascii="Arial" w:hAnsi="Arial" w:cs="Arial"/>
          <w:b/>
          <w:bCs/>
          <w:lang w:val="en-US"/>
        </w:rPr>
        <w:tab/>
      </w:r>
      <w:r w:rsidR="00C170C6" w:rsidRPr="004B076B">
        <w:rPr>
          <w:rFonts w:ascii="Arial" w:hAnsi="Arial" w:cs="Arial"/>
          <w:b/>
          <w:bCs/>
          <w:lang w:val="en-US"/>
        </w:rPr>
        <w:tab/>
      </w:r>
      <w:r w:rsidR="004C6454" w:rsidRPr="004B076B">
        <w:rPr>
          <w:rFonts w:ascii="Arial" w:hAnsi="Arial" w:cs="Arial"/>
          <w:b/>
          <w:bCs/>
          <w:sz w:val="20"/>
          <w:szCs w:val="20"/>
          <w:lang w:val="en-US"/>
        </w:rPr>
        <w:t xml:space="preserve">Registration </w:t>
      </w:r>
      <w:r w:rsidR="00C170C6" w:rsidRPr="004B076B">
        <w:rPr>
          <w:rFonts w:ascii="Arial" w:hAnsi="Arial" w:cs="Arial"/>
          <w:b/>
          <w:bCs/>
          <w:sz w:val="20"/>
          <w:szCs w:val="20"/>
          <w:lang w:val="en-US"/>
        </w:rPr>
        <w:t>Num</w:t>
      </w:r>
      <w:r w:rsidR="004C6454" w:rsidRPr="004B076B">
        <w:rPr>
          <w:rFonts w:ascii="Arial" w:hAnsi="Arial" w:cs="Arial"/>
          <w:b/>
          <w:bCs/>
          <w:sz w:val="20"/>
          <w:szCs w:val="20"/>
          <w:lang w:val="en-US"/>
        </w:rPr>
        <w:t>ber:</w:t>
      </w:r>
    </w:p>
    <w:p w14:paraId="06ACD75F" w14:textId="1645D444" w:rsidR="004C6454" w:rsidRPr="004B076B" w:rsidRDefault="004C6454" w:rsidP="004C6454">
      <w:pPr>
        <w:spacing w:after="0" w:line="240" w:lineRule="auto"/>
        <w:jc w:val="center"/>
        <w:rPr>
          <w:rFonts w:ascii="Arial" w:hAnsi="Arial" w:cs="Arial"/>
          <w:b/>
          <w:bCs/>
          <w:sz w:val="20"/>
          <w:szCs w:val="20"/>
          <w:lang w:val="en-US"/>
        </w:rPr>
      </w:pPr>
      <w:r w:rsidRPr="004B076B">
        <w:rPr>
          <w:rFonts w:ascii="Arial" w:hAnsi="Arial" w:cs="Arial"/>
          <w:b/>
          <w:bCs/>
          <w:sz w:val="20"/>
          <w:szCs w:val="20"/>
          <w:lang w:val="en-US"/>
        </w:rPr>
        <w:t xml:space="preserve">                                                                              Date &amp; Session:</w:t>
      </w:r>
    </w:p>
    <w:p w14:paraId="5B096716" w14:textId="77777777" w:rsidR="00C170C6" w:rsidRPr="004B076B" w:rsidRDefault="00C170C6" w:rsidP="004C6454">
      <w:pPr>
        <w:spacing w:after="0" w:line="240" w:lineRule="auto"/>
        <w:jc w:val="center"/>
        <w:rPr>
          <w:rFonts w:ascii="Arial" w:hAnsi="Arial" w:cs="Arial"/>
          <w:b/>
          <w:bCs/>
          <w:lang w:val="en-US"/>
        </w:rPr>
      </w:pPr>
    </w:p>
    <w:p w14:paraId="35415972" w14:textId="3FEDFAA7" w:rsidR="004C6454" w:rsidRPr="004B076B" w:rsidRDefault="00993D27" w:rsidP="004C6454">
      <w:pPr>
        <w:spacing w:after="0" w:line="240" w:lineRule="auto"/>
        <w:jc w:val="center"/>
        <w:rPr>
          <w:rFonts w:ascii="Arial" w:hAnsi="Arial" w:cs="Arial"/>
          <w:b/>
          <w:bCs/>
          <w:lang w:val="en-US"/>
        </w:rPr>
      </w:pPr>
      <w:r w:rsidRPr="004B076B">
        <w:rPr>
          <w:rFonts w:ascii="Arial" w:hAnsi="Arial" w:cs="Arial"/>
          <w:noProof/>
        </w:rPr>
        <w:drawing>
          <wp:anchor distT="0" distB="0" distL="0" distR="0" simplePos="0" relativeHeight="251661312" behindDoc="1" locked="0" layoutInCell="1" hidden="0" allowOverlap="1" wp14:anchorId="27B5AF83" wp14:editId="001AFC13">
            <wp:simplePos x="0" y="0"/>
            <wp:positionH relativeFrom="column">
              <wp:posOffset>0</wp:posOffset>
            </wp:positionH>
            <wp:positionV relativeFrom="paragraph">
              <wp:posOffset>-635</wp:posOffset>
            </wp:positionV>
            <wp:extent cx="1014413" cy="952933"/>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014413" cy="952933"/>
                    </a:xfrm>
                    <a:prstGeom prst="rect">
                      <a:avLst/>
                    </a:prstGeom>
                    <a:ln/>
                  </pic:spPr>
                </pic:pic>
              </a:graphicData>
            </a:graphic>
          </wp:anchor>
        </w:drawing>
      </w:r>
      <w:r w:rsidR="004C6454" w:rsidRPr="004B076B">
        <w:rPr>
          <w:rFonts w:ascii="Arial" w:hAnsi="Arial" w:cs="Arial"/>
          <w:b/>
          <w:bCs/>
          <w:lang w:val="en-US"/>
        </w:rPr>
        <w:t>ST. JOSEPH’S COLLEGE BENGALURU – 27</w:t>
      </w:r>
    </w:p>
    <w:p w14:paraId="27113305" w14:textId="14741109" w:rsidR="004C6454" w:rsidRPr="004B076B" w:rsidRDefault="004C6454" w:rsidP="004C6454">
      <w:pPr>
        <w:spacing w:after="0" w:line="240" w:lineRule="auto"/>
        <w:jc w:val="center"/>
        <w:rPr>
          <w:rFonts w:ascii="Arial" w:hAnsi="Arial" w:cs="Arial"/>
          <w:b/>
          <w:bCs/>
          <w:lang w:val="en-US"/>
        </w:rPr>
      </w:pPr>
      <w:r w:rsidRPr="004B076B">
        <w:rPr>
          <w:rFonts w:ascii="Arial" w:hAnsi="Arial" w:cs="Arial"/>
          <w:b/>
          <w:bCs/>
          <w:lang w:val="en-US"/>
        </w:rPr>
        <w:t xml:space="preserve">BCOM – </w:t>
      </w:r>
      <w:r w:rsidR="00BF5908" w:rsidRPr="004B076B">
        <w:rPr>
          <w:rFonts w:ascii="Arial" w:hAnsi="Arial" w:cs="Arial"/>
          <w:b/>
          <w:bCs/>
          <w:lang w:val="en-US"/>
        </w:rPr>
        <w:t>V</w:t>
      </w:r>
      <w:r w:rsidR="00857296" w:rsidRPr="004B076B">
        <w:rPr>
          <w:rFonts w:ascii="Arial" w:hAnsi="Arial" w:cs="Arial"/>
          <w:b/>
          <w:bCs/>
          <w:lang w:val="en-US"/>
        </w:rPr>
        <w:t>I</w:t>
      </w:r>
      <w:r w:rsidRPr="004B076B">
        <w:rPr>
          <w:rFonts w:ascii="Arial" w:hAnsi="Arial" w:cs="Arial"/>
          <w:b/>
          <w:bCs/>
          <w:lang w:val="en-US"/>
        </w:rPr>
        <w:t xml:space="preserve"> SEMESTER</w:t>
      </w:r>
    </w:p>
    <w:p w14:paraId="59DF2107" w14:textId="5F4006EB" w:rsidR="004C6454" w:rsidRPr="004B076B" w:rsidRDefault="004C6454" w:rsidP="004C6454">
      <w:pPr>
        <w:spacing w:after="0" w:line="240" w:lineRule="auto"/>
        <w:jc w:val="center"/>
        <w:rPr>
          <w:rFonts w:ascii="Arial" w:hAnsi="Arial" w:cs="Arial"/>
          <w:b/>
          <w:bCs/>
          <w:lang w:val="en-US"/>
        </w:rPr>
      </w:pPr>
      <w:r w:rsidRPr="004B076B">
        <w:rPr>
          <w:rFonts w:ascii="Arial" w:hAnsi="Arial" w:cs="Arial"/>
          <w:b/>
          <w:bCs/>
          <w:lang w:val="en-US"/>
        </w:rPr>
        <w:t>SEMESTER EXAMINATION: APRIL 202</w:t>
      </w:r>
      <w:r w:rsidR="007B22AB" w:rsidRPr="004B076B">
        <w:rPr>
          <w:rFonts w:ascii="Arial" w:hAnsi="Arial" w:cs="Arial"/>
          <w:b/>
          <w:bCs/>
          <w:lang w:val="en-US"/>
        </w:rPr>
        <w:t>4</w:t>
      </w:r>
    </w:p>
    <w:p w14:paraId="6002FE0E" w14:textId="2986B6CF" w:rsidR="004C6454" w:rsidRPr="004B076B" w:rsidRDefault="004C6454" w:rsidP="004C6454">
      <w:pPr>
        <w:spacing w:after="0" w:line="240" w:lineRule="auto"/>
        <w:jc w:val="center"/>
        <w:rPr>
          <w:rFonts w:ascii="Arial" w:hAnsi="Arial" w:cs="Arial"/>
          <w:b/>
          <w:bCs/>
          <w:lang w:val="en-US"/>
        </w:rPr>
      </w:pPr>
      <w:r w:rsidRPr="004B076B">
        <w:rPr>
          <w:rFonts w:ascii="Arial" w:hAnsi="Arial" w:cs="Arial"/>
          <w:b/>
          <w:bCs/>
          <w:lang w:val="en-US"/>
        </w:rPr>
        <w:t>(Examination conducted in May</w:t>
      </w:r>
      <w:r w:rsidR="007B22AB" w:rsidRPr="004B076B">
        <w:rPr>
          <w:rFonts w:ascii="Arial" w:hAnsi="Arial" w:cs="Arial"/>
          <w:b/>
          <w:bCs/>
          <w:lang w:val="en-US"/>
        </w:rPr>
        <w:t>/June</w:t>
      </w:r>
      <w:r w:rsidRPr="004B076B">
        <w:rPr>
          <w:rFonts w:ascii="Arial" w:hAnsi="Arial" w:cs="Arial"/>
          <w:b/>
          <w:bCs/>
          <w:lang w:val="en-US"/>
        </w:rPr>
        <w:t xml:space="preserve"> 202</w:t>
      </w:r>
      <w:r w:rsidR="007B22AB" w:rsidRPr="004B076B">
        <w:rPr>
          <w:rFonts w:ascii="Arial" w:hAnsi="Arial" w:cs="Arial"/>
          <w:b/>
          <w:bCs/>
          <w:lang w:val="en-US"/>
        </w:rPr>
        <w:t>4</w:t>
      </w:r>
      <w:r w:rsidRPr="004B076B">
        <w:rPr>
          <w:rFonts w:ascii="Arial" w:hAnsi="Arial" w:cs="Arial"/>
          <w:b/>
          <w:bCs/>
          <w:lang w:val="en-US"/>
        </w:rPr>
        <w:t>)</w:t>
      </w:r>
    </w:p>
    <w:p w14:paraId="6DD94A3B" w14:textId="71BA21DC" w:rsidR="004C6454" w:rsidRPr="004B076B" w:rsidRDefault="004C6454" w:rsidP="004C6454">
      <w:pPr>
        <w:spacing w:after="0" w:line="240" w:lineRule="auto"/>
        <w:jc w:val="center"/>
        <w:rPr>
          <w:rFonts w:ascii="Arial" w:hAnsi="Arial" w:cs="Arial"/>
          <w:b/>
          <w:bCs/>
          <w:lang w:val="en-US"/>
        </w:rPr>
      </w:pPr>
      <w:r w:rsidRPr="004B076B">
        <w:rPr>
          <w:rFonts w:ascii="Arial" w:hAnsi="Arial" w:cs="Arial"/>
          <w:b/>
          <w:bCs/>
          <w:lang w:val="en-US"/>
        </w:rPr>
        <w:t>BC</w:t>
      </w:r>
      <w:r w:rsidR="00BF5908" w:rsidRPr="004B076B">
        <w:rPr>
          <w:rFonts w:ascii="Arial" w:hAnsi="Arial" w:cs="Arial"/>
          <w:b/>
          <w:bCs/>
          <w:lang w:val="en-US"/>
        </w:rPr>
        <w:t>IF</w:t>
      </w:r>
      <w:r w:rsidR="007B22AB" w:rsidRPr="004B076B">
        <w:rPr>
          <w:rFonts w:ascii="Arial" w:hAnsi="Arial" w:cs="Arial"/>
          <w:b/>
          <w:bCs/>
          <w:lang w:val="en-US"/>
        </w:rPr>
        <w:t xml:space="preserve">A </w:t>
      </w:r>
      <w:r w:rsidR="00E339FD" w:rsidRPr="004B076B">
        <w:rPr>
          <w:rFonts w:ascii="Arial" w:hAnsi="Arial" w:cs="Arial"/>
          <w:b/>
          <w:bCs/>
          <w:lang w:val="en-US"/>
        </w:rPr>
        <w:t>6</w:t>
      </w:r>
      <w:r w:rsidR="00BF5908" w:rsidRPr="004B076B">
        <w:rPr>
          <w:rFonts w:ascii="Arial" w:hAnsi="Arial" w:cs="Arial"/>
          <w:b/>
          <w:bCs/>
          <w:lang w:val="en-US"/>
        </w:rPr>
        <w:t>1</w:t>
      </w:r>
      <w:r w:rsidR="007B22AB" w:rsidRPr="004B076B">
        <w:rPr>
          <w:rFonts w:ascii="Arial" w:hAnsi="Arial" w:cs="Arial"/>
          <w:b/>
          <w:bCs/>
          <w:lang w:val="en-US"/>
        </w:rPr>
        <w:t>23</w:t>
      </w:r>
      <w:r w:rsidRPr="004B076B">
        <w:rPr>
          <w:rFonts w:ascii="Arial" w:hAnsi="Arial" w:cs="Arial"/>
          <w:b/>
          <w:bCs/>
          <w:lang w:val="en-US"/>
        </w:rPr>
        <w:t xml:space="preserve">: </w:t>
      </w:r>
      <w:r w:rsidR="00BF5908" w:rsidRPr="004B076B">
        <w:rPr>
          <w:rFonts w:ascii="Arial" w:hAnsi="Arial" w:cs="Arial"/>
          <w:b/>
          <w:bCs/>
          <w:lang w:val="en-US"/>
        </w:rPr>
        <w:t xml:space="preserve">Strategic Business Reporting </w:t>
      </w:r>
      <w:r w:rsidR="00E339FD" w:rsidRPr="004B076B">
        <w:rPr>
          <w:rFonts w:ascii="Arial" w:hAnsi="Arial" w:cs="Arial"/>
          <w:b/>
          <w:bCs/>
          <w:lang w:val="en-US"/>
        </w:rPr>
        <w:t>I</w:t>
      </w:r>
      <w:r w:rsidR="00BF5908" w:rsidRPr="004B076B">
        <w:rPr>
          <w:rFonts w:ascii="Arial" w:hAnsi="Arial" w:cs="Arial"/>
          <w:b/>
          <w:bCs/>
          <w:lang w:val="en-US"/>
        </w:rPr>
        <w:t>I</w:t>
      </w:r>
    </w:p>
    <w:p w14:paraId="65B631CF" w14:textId="22FDBCD6" w:rsidR="000D6EA1" w:rsidRPr="004B076B" w:rsidRDefault="000D6EA1" w:rsidP="004C6454">
      <w:pPr>
        <w:spacing w:after="0" w:line="240" w:lineRule="auto"/>
        <w:jc w:val="center"/>
        <w:rPr>
          <w:rFonts w:ascii="Arial" w:hAnsi="Arial" w:cs="Arial"/>
          <w:b/>
          <w:bCs/>
          <w:lang w:val="en-US"/>
        </w:rPr>
      </w:pPr>
      <w:r w:rsidRPr="004B076B">
        <w:rPr>
          <w:rFonts w:ascii="Arial" w:hAnsi="Arial" w:cs="Arial"/>
          <w:b/>
          <w:bCs/>
          <w:lang w:val="en-US"/>
        </w:rPr>
        <w:t>(For current batch students only)</w:t>
      </w:r>
    </w:p>
    <w:p w14:paraId="4401AFE5" w14:textId="784DA3BD" w:rsidR="004C6454" w:rsidRPr="004B076B" w:rsidRDefault="004C6454" w:rsidP="004C6454">
      <w:pPr>
        <w:spacing w:after="0" w:line="240" w:lineRule="auto"/>
        <w:rPr>
          <w:rFonts w:ascii="Arial" w:hAnsi="Arial" w:cs="Arial"/>
          <w:b/>
          <w:bCs/>
          <w:lang w:val="en-US"/>
        </w:rPr>
      </w:pPr>
      <w:bookmarkStart w:id="0" w:name="_Hlk129441741"/>
      <w:r w:rsidRPr="004B076B">
        <w:rPr>
          <w:rFonts w:ascii="Arial" w:hAnsi="Arial" w:cs="Arial"/>
          <w:b/>
          <w:bCs/>
          <w:lang w:val="en-US"/>
        </w:rPr>
        <w:t>Time: 2 Hours</w:t>
      </w:r>
      <w:r w:rsidRPr="004B076B">
        <w:rPr>
          <w:rFonts w:ascii="Arial" w:hAnsi="Arial" w:cs="Arial"/>
          <w:b/>
          <w:bCs/>
          <w:lang w:val="en-US"/>
        </w:rPr>
        <w:tab/>
      </w:r>
      <w:r w:rsidRPr="004B076B">
        <w:rPr>
          <w:rFonts w:ascii="Arial" w:hAnsi="Arial" w:cs="Arial"/>
          <w:b/>
          <w:bCs/>
          <w:lang w:val="en-US"/>
        </w:rPr>
        <w:tab/>
      </w:r>
      <w:r w:rsidRPr="004B076B">
        <w:rPr>
          <w:rFonts w:ascii="Arial" w:hAnsi="Arial" w:cs="Arial"/>
          <w:b/>
          <w:bCs/>
          <w:lang w:val="en-US"/>
        </w:rPr>
        <w:tab/>
      </w:r>
      <w:r w:rsidRPr="004B076B">
        <w:rPr>
          <w:rFonts w:ascii="Arial" w:hAnsi="Arial" w:cs="Arial"/>
          <w:b/>
          <w:bCs/>
          <w:lang w:val="en-US"/>
        </w:rPr>
        <w:tab/>
      </w:r>
      <w:r w:rsidRPr="004B076B">
        <w:rPr>
          <w:rFonts w:ascii="Arial" w:hAnsi="Arial" w:cs="Arial"/>
          <w:b/>
          <w:bCs/>
          <w:lang w:val="en-US"/>
        </w:rPr>
        <w:tab/>
      </w:r>
      <w:r w:rsidRPr="004B076B">
        <w:rPr>
          <w:rFonts w:ascii="Arial" w:hAnsi="Arial" w:cs="Arial"/>
          <w:b/>
          <w:bCs/>
          <w:lang w:val="en-US"/>
        </w:rPr>
        <w:tab/>
      </w:r>
      <w:r w:rsidRPr="004B076B">
        <w:rPr>
          <w:rFonts w:ascii="Arial" w:hAnsi="Arial" w:cs="Arial"/>
          <w:b/>
          <w:bCs/>
          <w:lang w:val="en-US"/>
        </w:rPr>
        <w:tab/>
      </w:r>
      <w:proofErr w:type="gramStart"/>
      <w:r w:rsidRPr="004B076B">
        <w:rPr>
          <w:rFonts w:ascii="Arial" w:hAnsi="Arial" w:cs="Arial"/>
          <w:b/>
          <w:bCs/>
          <w:lang w:val="en-US"/>
        </w:rPr>
        <w:tab/>
        <w:t xml:space="preserve">  </w:t>
      </w:r>
      <w:r w:rsidR="000D6EA1" w:rsidRPr="004B076B">
        <w:rPr>
          <w:rFonts w:ascii="Arial" w:hAnsi="Arial" w:cs="Arial"/>
          <w:b/>
          <w:bCs/>
          <w:lang w:val="en-US"/>
        </w:rPr>
        <w:tab/>
      </w:r>
      <w:proofErr w:type="gramEnd"/>
      <w:r w:rsidRPr="004B076B">
        <w:rPr>
          <w:rFonts w:ascii="Arial" w:hAnsi="Arial" w:cs="Arial"/>
          <w:b/>
          <w:bCs/>
          <w:lang w:val="en-US"/>
        </w:rPr>
        <w:t xml:space="preserve">Max Marks: </w:t>
      </w:r>
      <w:r w:rsidR="007B22AB" w:rsidRPr="004B076B">
        <w:rPr>
          <w:rFonts w:ascii="Arial" w:hAnsi="Arial" w:cs="Arial"/>
          <w:b/>
          <w:bCs/>
          <w:lang w:val="en-US"/>
        </w:rPr>
        <w:t>60</w:t>
      </w:r>
    </w:p>
    <w:p w14:paraId="0FC5C4C7" w14:textId="639B36F9" w:rsidR="004C6454" w:rsidRPr="004B076B" w:rsidRDefault="004C6454" w:rsidP="004C6454">
      <w:pPr>
        <w:jc w:val="center"/>
        <w:rPr>
          <w:rFonts w:ascii="Arial" w:hAnsi="Arial" w:cs="Arial"/>
          <w:b/>
          <w:bCs/>
          <w:lang w:val="en-US"/>
        </w:rPr>
      </w:pPr>
      <w:r w:rsidRPr="004B076B">
        <w:rPr>
          <w:rFonts w:ascii="Arial" w:hAnsi="Arial" w:cs="Arial"/>
          <w:b/>
          <w:bCs/>
          <w:lang w:val="en-US"/>
        </w:rPr>
        <w:t xml:space="preserve">This paper contains </w:t>
      </w:r>
      <w:r w:rsidR="00416370">
        <w:rPr>
          <w:rFonts w:ascii="Arial" w:hAnsi="Arial" w:cs="Arial"/>
          <w:b/>
          <w:bCs/>
          <w:lang w:val="en-US"/>
        </w:rPr>
        <w:t>3</w:t>
      </w:r>
      <w:r w:rsidRPr="004B076B">
        <w:rPr>
          <w:rFonts w:ascii="Arial" w:hAnsi="Arial" w:cs="Arial"/>
          <w:b/>
          <w:bCs/>
          <w:lang w:val="en-US"/>
        </w:rPr>
        <w:t xml:space="preserve"> printed pages and </w:t>
      </w:r>
      <w:r w:rsidR="00C96118" w:rsidRPr="004B076B">
        <w:rPr>
          <w:rFonts w:ascii="Arial" w:hAnsi="Arial" w:cs="Arial"/>
          <w:b/>
          <w:bCs/>
          <w:u w:val="single"/>
          <w:lang w:val="en-US"/>
        </w:rPr>
        <w:t>4</w:t>
      </w:r>
      <w:r w:rsidRPr="004B076B">
        <w:rPr>
          <w:rFonts w:ascii="Arial" w:hAnsi="Arial" w:cs="Arial"/>
          <w:b/>
          <w:bCs/>
          <w:lang w:val="en-US"/>
        </w:rPr>
        <w:t xml:space="preserve"> parts</w:t>
      </w:r>
    </w:p>
    <w:bookmarkEnd w:id="0"/>
    <w:p w14:paraId="237034CA" w14:textId="77777777" w:rsidR="00857296" w:rsidRPr="004B076B" w:rsidRDefault="00857296" w:rsidP="00857296">
      <w:pPr>
        <w:spacing w:after="0"/>
        <w:jc w:val="center"/>
        <w:rPr>
          <w:rFonts w:ascii="Arial" w:hAnsi="Arial" w:cs="Arial"/>
          <w:b/>
          <w:bCs/>
          <w:lang w:val="en-US"/>
        </w:rPr>
      </w:pPr>
      <w:r w:rsidRPr="004B076B">
        <w:rPr>
          <w:rFonts w:ascii="Arial" w:hAnsi="Arial" w:cs="Arial"/>
          <w:b/>
          <w:bCs/>
          <w:lang w:val="en-US"/>
        </w:rPr>
        <w:t>Part A</w:t>
      </w:r>
    </w:p>
    <w:p w14:paraId="22A5FAAF" w14:textId="77777777" w:rsidR="00857296" w:rsidRPr="004B076B" w:rsidRDefault="00857296" w:rsidP="00857296">
      <w:pPr>
        <w:spacing w:line="276" w:lineRule="auto"/>
        <w:jc w:val="center"/>
        <w:rPr>
          <w:rFonts w:ascii="Arial" w:hAnsi="Arial" w:cs="Arial"/>
          <w:b/>
          <w:bCs/>
          <w:lang w:val="en-US"/>
        </w:rPr>
      </w:pPr>
      <w:r w:rsidRPr="004B076B">
        <w:rPr>
          <w:rFonts w:ascii="Arial" w:hAnsi="Arial" w:cs="Arial"/>
          <w:b/>
          <w:bCs/>
          <w:lang w:val="en-US"/>
        </w:rPr>
        <w:t>Answer any 5 of the following. Each question carries 3 marks.</w:t>
      </w:r>
      <w:r w:rsidRPr="004B076B">
        <w:rPr>
          <w:rFonts w:ascii="Arial" w:hAnsi="Arial" w:cs="Arial"/>
          <w:b/>
          <w:bCs/>
          <w:lang w:val="en-US"/>
        </w:rPr>
        <w:tab/>
        <w:t>(5 X 3 = 15)</w:t>
      </w:r>
    </w:p>
    <w:p w14:paraId="548EC21F" w14:textId="2087BCBB" w:rsidR="00857296" w:rsidRPr="00E043A7" w:rsidRDefault="00857296" w:rsidP="00857296">
      <w:pPr>
        <w:pStyle w:val="ListParagraph"/>
        <w:numPr>
          <w:ilvl w:val="0"/>
          <w:numId w:val="20"/>
        </w:numPr>
        <w:jc w:val="both"/>
        <w:rPr>
          <w:rFonts w:ascii="Arial" w:hAnsi="Arial" w:cs="Arial"/>
          <w:sz w:val="22"/>
          <w:szCs w:val="22"/>
          <w:lang w:bidi="ta-IN"/>
        </w:rPr>
      </w:pPr>
      <w:bookmarkStart w:id="1" w:name="_Hlk161048184"/>
      <w:r w:rsidRPr="004B076B">
        <w:rPr>
          <w:rFonts w:ascii="Arial" w:hAnsi="Arial" w:cs="Arial"/>
          <w:sz w:val="22"/>
          <w:szCs w:val="22"/>
          <w:lang w:bidi="ta-IN"/>
        </w:rPr>
        <w:t xml:space="preserve"> </w:t>
      </w:r>
      <w:r w:rsidR="004B076B" w:rsidRPr="00E043A7">
        <w:rPr>
          <w:rFonts w:ascii="Arial" w:hAnsi="Arial" w:cs="Arial"/>
          <w:sz w:val="22"/>
          <w:szCs w:val="22"/>
        </w:rPr>
        <w:t>Bolt</w:t>
      </w:r>
      <w:r w:rsidR="00DC6338" w:rsidRPr="00E043A7">
        <w:rPr>
          <w:rFonts w:ascii="Arial" w:hAnsi="Arial" w:cs="Arial"/>
          <w:sz w:val="22"/>
          <w:szCs w:val="22"/>
        </w:rPr>
        <w:t xml:space="preserve"> Co hedges commodity price risk in aluminium and such transactions were classified as ‘highly probable’ in accordance with IFRS 9 Financial Instruments. However, the purchases which were considered highly probable prior to the natural disaster, are no longer expected to occur. How the hedge of the commodity price risk in aluminium should be accounted for in the financial statement for the year ended 31 December 20X7? </w:t>
      </w:r>
    </w:p>
    <w:p w14:paraId="03BA0219" w14:textId="16ACA5F2" w:rsidR="00857296" w:rsidRPr="00E043A7" w:rsidRDefault="003A75AD" w:rsidP="00857296">
      <w:pPr>
        <w:pStyle w:val="ListParagraph"/>
        <w:numPr>
          <w:ilvl w:val="0"/>
          <w:numId w:val="20"/>
        </w:numPr>
        <w:jc w:val="both"/>
        <w:rPr>
          <w:rFonts w:ascii="Arial" w:hAnsi="Arial" w:cs="Arial"/>
          <w:sz w:val="22"/>
          <w:szCs w:val="22"/>
          <w:lang w:bidi="ta-IN"/>
        </w:rPr>
      </w:pPr>
      <w:r w:rsidRPr="00E043A7">
        <w:rPr>
          <w:rFonts w:ascii="Arial" w:hAnsi="Arial" w:cs="Arial"/>
          <w:sz w:val="22"/>
          <w:szCs w:val="22"/>
          <w:lang w:bidi="ta-IN"/>
        </w:rPr>
        <w:t>According to IFRS 10, when an investor is said to control an investee?</w:t>
      </w:r>
    </w:p>
    <w:p w14:paraId="11EF1C9A" w14:textId="2DF1E6D6" w:rsidR="00857296" w:rsidRPr="00E043A7" w:rsidRDefault="004B076B" w:rsidP="00857296">
      <w:pPr>
        <w:pStyle w:val="ListParagraph"/>
        <w:numPr>
          <w:ilvl w:val="0"/>
          <w:numId w:val="20"/>
        </w:numPr>
        <w:jc w:val="both"/>
        <w:rPr>
          <w:rFonts w:ascii="Arial" w:hAnsi="Arial" w:cs="Arial"/>
          <w:sz w:val="22"/>
          <w:szCs w:val="22"/>
          <w:lang w:bidi="ta-IN"/>
        </w:rPr>
      </w:pPr>
      <w:r w:rsidRPr="00E043A7">
        <w:rPr>
          <w:rFonts w:ascii="Arial" w:hAnsi="Arial" w:cs="Arial"/>
          <w:sz w:val="22"/>
          <w:szCs w:val="22"/>
        </w:rPr>
        <w:t>Spring</w:t>
      </w:r>
      <w:r w:rsidR="00B8312D" w:rsidRPr="00E043A7">
        <w:rPr>
          <w:rFonts w:ascii="Arial" w:hAnsi="Arial" w:cs="Arial"/>
          <w:sz w:val="22"/>
          <w:szCs w:val="22"/>
        </w:rPr>
        <w:t xml:space="preserve"> buys 70% of the equity shares of Still for $500,000 in cash. At the acquisition date, Still had cash and cash equivalents of $25,000. How this will be recorded in the consolidated statement of cash flows?</w:t>
      </w:r>
    </w:p>
    <w:p w14:paraId="1D28F72B" w14:textId="30D47FCF" w:rsidR="00857296" w:rsidRPr="00E043A7" w:rsidRDefault="00B8312D" w:rsidP="00857296">
      <w:pPr>
        <w:pStyle w:val="ListParagraph"/>
        <w:numPr>
          <w:ilvl w:val="0"/>
          <w:numId w:val="20"/>
        </w:numPr>
        <w:jc w:val="both"/>
        <w:rPr>
          <w:rFonts w:ascii="Arial" w:hAnsi="Arial" w:cs="Arial"/>
          <w:sz w:val="22"/>
          <w:szCs w:val="22"/>
          <w:lang w:bidi="ta-IN"/>
        </w:rPr>
      </w:pPr>
      <w:r w:rsidRPr="00E043A7">
        <w:rPr>
          <w:rFonts w:ascii="Arial" w:hAnsi="Arial" w:cs="Arial"/>
          <w:sz w:val="22"/>
          <w:szCs w:val="22"/>
          <w:lang w:bidi="ta-IN"/>
        </w:rPr>
        <w:t>What is meant by functional currency and presentation curr</w:t>
      </w:r>
      <w:r w:rsidR="009B7351" w:rsidRPr="00E043A7">
        <w:rPr>
          <w:rFonts w:ascii="Arial" w:hAnsi="Arial" w:cs="Arial"/>
          <w:sz w:val="22"/>
          <w:szCs w:val="22"/>
          <w:lang w:bidi="ta-IN"/>
        </w:rPr>
        <w:t>ency?</w:t>
      </w:r>
    </w:p>
    <w:p w14:paraId="479F0171" w14:textId="6AD1F669" w:rsidR="00857296" w:rsidRPr="00E043A7" w:rsidRDefault="00B06E32" w:rsidP="00857296">
      <w:pPr>
        <w:pStyle w:val="ListParagraph"/>
        <w:numPr>
          <w:ilvl w:val="0"/>
          <w:numId w:val="20"/>
        </w:numPr>
        <w:jc w:val="both"/>
        <w:rPr>
          <w:rFonts w:ascii="Arial" w:hAnsi="Arial" w:cs="Arial"/>
          <w:sz w:val="22"/>
          <w:szCs w:val="22"/>
          <w:lang w:bidi="ta-IN"/>
        </w:rPr>
      </w:pPr>
      <w:r w:rsidRPr="00E043A7">
        <w:rPr>
          <w:rFonts w:ascii="Arial" w:hAnsi="Arial" w:cs="Arial"/>
          <w:sz w:val="22"/>
          <w:szCs w:val="22"/>
          <w:lang w:bidi="ta-IN"/>
        </w:rPr>
        <w:t xml:space="preserve">List out any 3 criteria to classify an item into </w:t>
      </w:r>
      <w:proofErr w:type="spellStart"/>
      <w:r w:rsidRPr="00E043A7">
        <w:rPr>
          <w:rFonts w:ascii="Arial" w:hAnsi="Arial" w:cs="Arial"/>
          <w:sz w:val="22"/>
          <w:szCs w:val="22"/>
          <w:lang w:bidi="ta-IN"/>
        </w:rPr>
        <w:t>Non current</w:t>
      </w:r>
      <w:proofErr w:type="spellEnd"/>
      <w:r w:rsidRPr="00E043A7">
        <w:rPr>
          <w:rFonts w:ascii="Arial" w:hAnsi="Arial" w:cs="Arial"/>
          <w:sz w:val="22"/>
          <w:szCs w:val="22"/>
          <w:lang w:bidi="ta-IN"/>
        </w:rPr>
        <w:t xml:space="preserve"> asset held for sale (IFRS 5).</w:t>
      </w:r>
    </w:p>
    <w:p w14:paraId="3A071734" w14:textId="494345D5" w:rsidR="00857296" w:rsidRPr="00E043A7" w:rsidRDefault="00B06E32" w:rsidP="00857296">
      <w:pPr>
        <w:pStyle w:val="ListParagraph"/>
        <w:numPr>
          <w:ilvl w:val="0"/>
          <w:numId w:val="20"/>
        </w:numPr>
        <w:jc w:val="both"/>
        <w:rPr>
          <w:rFonts w:ascii="Arial" w:hAnsi="Arial" w:cs="Arial"/>
          <w:sz w:val="22"/>
          <w:szCs w:val="22"/>
          <w:lang w:bidi="ta-IN"/>
        </w:rPr>
      </w:pPr>
      <w:r w:rsidRPr="00E043A7">
        <w:rPr>
          <w:rFonts w:ascii="Arial" w:hAnsi="Arial" w:cs="Arial"/>
          <w:sz w:val="22"/>
          <w:szCs w:val="22"/>
        </w:rPr>
        <w:t>What are the components of interim financial report?</w:t>
      </w:r>
    </w:p>
    <w:p w14:paraId="3D1206D9" w14:textId="77777777" w:rsidR="00857296" w:rsidRPr="004B076B" w:rsidRDefault="00857296" w:rsidP="00857296">
      <w:pPr>
        <w:spacing w:after="0"/>
        <w:jc w:val="center"/>
        <w:rPr>
          <w:rFonts w:ascii="Arial" w:hAnsi="Arial" w:cs="Arial"/>
          <w:b/>
          <w:bCs/>
          <w:lang w:val="en-US"/>
        </w:rPr>
      </w:pPr>
      <w:r w:rsidRPr="004B076B">
        <w:rPr>
          <w:rFonts w:ascii="Arial" w:hAnsi="Arial" w:cs="Arial"/>
          <w:b/>
          <w:bCs/>
          <w:lang w:val="en-US"/>
        </w:rPr>
        <w:t>Part B</w:t>
      </w:r>
    </w:p>
    <w:p w14:paraId="779D8E51" w14:textId="77777777" w:rsidR="00857296" w:rsidRPr="004B076B" w:rsidRDefault="00857296" w:rsidP="00857296">
      <w:pPr>
        <w:jc w:val="center"/>
        <w:rPr>
          <w:rFonts w:ascii="Arial" w:hAnsi="Arial" w:cs="Arial"/>
          <w:b/>
          <w:bCs/>
          <w:lang w:val="en-US"/>
        </w:rPr>
      </w:pPr>
      <w:r w:rsidRPr="004B076B">
        <w:rPr>
          <w:rFonts w:ascii="Arial" w:hAnsi="Arial" w:cs="Arial"/>
          <w:b/>
          <w:bCs/>
          <w:lang w:val="en-US"/>
        </w:rPr>
        <w:t>Answer any 2 of the following. Each question carries 5 marks.</w:t>
      </w:r>
      <w:r w:rsidRPr="004B076B">
        <w:rPr>
          <w:rFonts w:ascii="Arial" w:hAnsi="Arial" w:cs="Arial"/>
          <w:b/>
          <w:bCs/>
          <w:lang w:val="en-US"/>
        </w:rPr>
        <w:tab/>
      </w:r>
      <w:r w:rsidRPr="004B076B">
        <w:rPr>
          <w:rFonts w:ascii="Arial" w:hAnsi="Arial" w:cs="Arial"/>
          <w:b/>
          <w:bCs/>
          <w:lang w:val="en-US"/>
        </w:rPr>
        <w:tab/>
      </w:r>
      <w:r w:rsidRPr="004B076B">
        <w:rPr>
          <w:rFonts w:ascii="Arial" w:hAnsi="Arial" w:cs="Arial"/>
          <w:b/>
          <w:bCs/>
          <w:lang w:val="en-US"/>
        </w:rPr>
        <w:tab/>
        <w:t>(2 X 5 = 10)</w:t>
      </w:r>
    </w:p>
    <w:p w14:paraId="7269B14F" w14:textId="0491AB38" w:rsidR="00857296" w:rsidRPr="004B076B" w:rsidRDefault="00857296" w:rsidP="00857296">
      <w:pPr>
        <w:pStyle w:val="ListParagraph"/>
        <w:numPr>
          <w:ilvl w:val="0"/>
          <w:numId w:val="20"/>
        </w:numPr>
        <w:spacing w:line="276" w:lineRule="auto"/>
        <w:jc w:val="both"/>
        <w:rPr>
          <w:rFonts w:ascii="Arial" w:hAnsi="Arial" w:cs="Arial"/>
          <w:sz w:val="22"/>
          <w:szCs w:val="22"/>
          <w:lang w:val="en-US"/>
        </w:rPr>
      </w:pPr>
      <w:r w:rsidRPr="004B076B">
        <w:rPr>
          <w:rFonts w:ascii="Arial" w:hAnsi="Arial" w:cs="Arial"/>
          <w:sz w:val="22"/>
          <w:szCs w:val="22"/>
          <w:lang w:val="en-US"/>
        </w:rPr>
        <w:t xml:space="preserve"> </w:t>
      </w:r>
      <w:r w:rsidR="004B076B">
        <w:rPr>
          <w:rFonts w:ascii="Arial" w:hAnsi="Arial" w:cs="Arial"/>
        </w:rPr>
        <w:t>Prima</w:t>
      </w:r>
      <w:r w:rsidR="00C276FE" w:rsidRPr="004B076B">
        <w:rPr>
          <w:rFonts w:ascii="Arial" w:hAnsi="Arial" w:cs="Arial"/>
        </w:rPr>
        <w:t xml:space="preserve"> Co is worried that the poor remuneration package offered to employees is putting the company at risk of reputational damage. Consequently, </w:t>
      </w:r>
      <w:r w:rsidR="004B076B">
        <w:rPr>
          <w:rFonts w:ascii="Arial" w:hAnsi="Arial" w:cs="Arial"/>
        </w:rPr>
        <w:t>Prima</w:t>
      </w:r>
      <w:r w:rsidR="00C276FE" w:rsidRPr="004B076B">
        <w:rPr>
          <w:rFonts w:ascii="Arial" w:hAnsi="Arial" w:cs="Arial"/>
        </w:rPr>
        <w:t xml:space="preserve"> Co changed its pension scheme on 30 September 20X5 to include </w:t>
      </w:r>
      <w:proofErr w:type="gramStart"/>
      <w:r w:rsidR="00C276FE" w:rsidRPr="004B076B">
        <w:rPr>
          <w:rFonts w:ascii="Arial" w:hAnsi="Arial" w:cs="Arial"/>
        </w:rPr>
        <w:t>all of</w:t>
      </w:r>
      <w:proofErr w:type="gramEnd"/>
      <w:r w:rsidR="00C276FE" w:rsidRPr="004B076B">
        <w:rPr>
          <w:rFonts w:ascii="Arial" w:hAnsi="Arial" w:cs="Arial"/>
        </w:rPr>
        <w:t xml:space="preserve"> </w:t>
      </w:r>
      <w:proofErr w:type="spellStart"/>
      <w:r w:rsidR="00C276FE" w:rsidRPr="004B076B">
        <w:rPr>
          <w:rFonts w:ascii="Arial" w:hAnsi="Arial" w:cs="Arial"/>
        </w:rPr>
        <w:t>itsstaff</w:t>
      </w:r>
      <w:proofErr w:type="spellEnd"/>
      <w:r w:rsidR="00C276FE" w:rsidRPr="004B076B">
        <w:rPr>
          <w:rFonts w:ascii="Arial" w:hAnsi="Arial" w:cs="Arial"/>
        </w:rPr>
        <w:t xml:space="preserve">. The benefits accrue from the date of their employment but only vest after two years additional service from 30 September 20X5. The net pension obligation at 30 September 20X5 of $78 million has been updated to include this change. During the year, benefits of $6 million were paid under the scheme and </w:t>
      </w:r>
      <w:r w:rsidR="004B076B">
        <w:rPr>
          <w:rFonts w:ascii="Arial" w:hAnsi="Arial" w:cs="Arial"/>
        </w:rPr>
        <w:t>Prima</w:t>
      </w:r>
      <w:r w:rsidR="00C276FE" w:rsidRPr="004B076B">
        <w:rPr>
          <w:rFonts w:ascii="Arial" w:hAnsi="Arial" w:cs="Arial"/>
        </w:rPr>
        <w:t xml:space="preserve"> Co contributed $10 million to the scheme. These payments had been recorded in the financial statements but no other entries for the year have been made. The following information relates to the pension scheme:</w:t>
      </w:r>
    </w:p>
    <w:tbl>
      <w:tblPr>
        <w:tblStyle w:val="TableGrid"/>
        <w:tblW w:w="0" w:type="auto"/>
        <w:tblInd w:w="1271" w:type="dxa"/>
        <w:tblLook w:val="04A0" w:firstRow="1" w:lastRow="0" w:firstColumn="1" w:lastColumn="0" w:noHBand="0" w:noVBand="1"/>
      </w:tblPr>
      <w:tblGrid>
        <w:gridCol w:w="7655"/>
        <w:gridCol w:w="992"/>
      </w:tblGrid>
      <w:tr w:rsidR="00C276FE" w:rsidRPr="004B076B" w14:paraId="4D33342B" w14:textId="77777777" w:rsidTr="00F73ED2">
        <w:tc>
          <w:tcPr>
            <w:tcW w:w="7655" w:type="dxa"/>
          </w:tcPr>
          <w:p w14:paraId="52EE9BD5" w14:textId="77777777" w:rsidR="00C276FE" w:rsidRPr="004B076B" w:rsidRDefault="00C276FE" w:rsidP="00C276FE">
            <w:pPr>
              <w:pStyle w:val="ListParagraph"/>
              <w:spacing w:line="276" w:lineRule="auto"/>
              <w:ind w:left="0"/>
              <w:jc w:val="both"/>
              <w:rPr>
                <w:rFonts w:ascii="Arial" w:hAnsi="Arial" w:cs="Arial"/>
              </w:rPr>
            </w:pPr>
            <w:r w:rsidRPr="004B076B">
              <w:rPr>
                <w:rFonts w:ascii="Arial" w:hAnsi="Arial" w:cs="Arial"/>
              </w:rPr>
              <w:t>Net pension obligation at 30 September 20X5</w:t>
            </w:r>
          </w:p>
          <w:p w14:paraId="52EA61F1" w14:textId="77777777" w:rsidR="00C276FE" w:rsidRPr="004B076B" w:rsidRDefault="00C276FE" w:rsidP="00C276FE">
            <w:pPr>
              <w:pStyle w:val="ListParagraph"/>
              <w:spacing w:line="276" w:lineRule="auto"/>
              <w:ind w:left="0"/>
              <w:jc w:val="both"/>
              <w:rPr>
                <w:rFonts w:ascii="Arial" w:hAnsi="Arial" w:cs="Arial"/>
              </w:rPr>
            </w:pPr>
            <w:r w:rsidRPr="004B076B">
              <w:rPr>
                <w:rFonts w:ascii="Arial" w:hAnsi="Arial" w:cs="Arial"/>
              </w:rPr>
              <w:t>Net pension obligation at 30 September 20X4</w:t>
            </w:r>
          </w:p>
          <w:p w14:paraId="19ACDC7E" w14:textId="77777777" w:rsidR="00C276FE" w:rsidRPr="004B076B" w:rsidRDefault="00C276FE" w:rsidP="00C276FE">
            <w:pPr>
              <w:pStyle w:val="ListParagraph"/>
              <w:spacing w:line="276" w:lineRule="auto"/>
              <w:ind w:left="0"/>
              <w:jc w:val="both"/>
              <w:rPr>
                <w:rFonts w:ascii="Arial" w:hAnsi="Arial" w:cs="Arial"/>
              </w:rPr>
            </w:pPr>
            <w:r w:rsidRPr="004B076B">
              <w:rPr>
                <w:rFonts w:ascii="Arial" w:hAnsi="Arial" w:cs="Arial"/>
              </w:rPr>
              <w:t>Current service cost for year</w:t>
            </w:r>
          </w:p>
          <w:p w14:paraId="5B274D6A" w14:textId="77777777" w:rsidR="00C276FE" w:rsidRPr="004B076B" w:rsidRDefault="00C276FE" w:rsidP="00C276FE">
            <w:pPr>
              <w:pStyle w:val="ListParagraph"/>
              <w:spacing w:line="276" w:lineRule="auto"/>
              <w:ind w:left="0"/>
              <w:jc w:val="both"/>
              <w:rPr>
                <w:rFonts w:ascii="Arial" w:hAnsi="Arial" w:cs="Arial"/>
              </w:rPr>
            </w:pPr>
            <w:r w:rsidRPr="004B076B">
              <w:rPr>
                <w:rFonts w:ascii="Arial" w:hAnsi="Arial" w:cs="Arial"/>
              </w:rPr>
              <w:t>Past service cost relating to scheme amendment at 30 September 20X5</w:t>
            </w:r>
          </w:p>
          <w:p w14:paraId="4D68EA48" w14:textId="77777777" w:rsidR="00C276FE" w:rsidRPr="004B076B" w:rsidRDefault="00C276FE" w:rsidP="00C276FE">
            <w:pPr>
              <w:pStyle w:val="ListParagraph"/>
              <w:spacing w:line="276" w:lineRule="auto"/>
              <w:ind w:left="0"/>
              <w:jc w:val="both"/>
              <w:rPr>
                <w:rFonts w:ascii="Arial" w:hAnsi="Arial" w:cs="Arial"/>
              </w:rPr>
            </w:pPr>
            <w:r w:rsidRPr="004B076B">
              <w:rPr>
                <w:rFonts w:ascii="Arial" w:hAnsi="Arial" w:cs="Arial"/>
              </w:rPr>
              <w:t>Discount rate at 30 September 20X4</w:t>
            </w:r>
          </w:p>
          <w:p w14:paraId="632F8991" w14:textId="322905EF" w:rsidR="00C276FE" w:rsidRPr="004B076B" w:rsidRDefault="00C276FE" w:rsidP="00C276FE">
            <w:pPr>
              <w:pStyle w:val="ListParagraph"/>
              <w:spacing w:line="276" w:lineRule="auto"/>
              <w:ind w:left="0"/>
              <w:jc w:val="both"/>
              <w:rPr>
                <w:rFonts w:ascii="Arial" w:hAnsi="Arial" w:cs="Arial"/>
                <w:sz w:val="22"/>
                <w:szCs w:val="22"/>
                <w:lang w:val="en-US"/>
              </w:rPr>
            </w:pPr>
            <w:r w:rsidRPr="004B076B">
              <w:rPr>
                <w:rFonts w:ascii="Arial" w:hAnsi="Arial" w:cs="Arial"/>
              </w:rPr>
              <w:t>Discount rate at 30 September 20X5</w:t>
            </w:r>
          </w:p>
        </w:tc>
        <w:tc>
          <w:tcPr>
            <w:tcW w:w="992" w:type="dxa"/>
          </w:tcPr>
          <w:p w14:paraId="006EB8C3" w14:textId="7385C56A" w:rsidR="00C276FE" w:rsidRPr="004B076B" w:rsidRDefault="00C276FE" w:rsidP="00C276FE">
            <w:pPr>
              <w:pStyle w:val="ListParagraph"/>
              <w:spacing w:line="276" w:lineRule="auto"/>
              <w:ind w:left="0"/>
              <w:jc w:val="both"/>
              <w:rPr>
                <w:rFonts w:ascii="Arial" w:hAnsi="Arial" w:cs="Arial"/>
              </w:rPr>
            </w:pPr>
            <w:r w:rsidRPr="004B076B">
              <w:rPr>
                <w:rFonts w:ascii="Arial" w:hAnsi="Arial" w:cs="Arial"/>
              </w:rPr>
              <w:t>$78m</w:t>
            </w:r>
          </w:p>
          <w:p w14:paraId="64A065E1" w14:textId="77777777" w:rsidR="00C276FE" w:rsidRPr="004B076B" w:rsidRDefault="00C276FE" w:rsidP="00C276FE">
            <w:pPr>
              <w:pStyle w:val="ListParagraph"/>
              <w:spacing w:line="276" w:lineRule="auto"/>
              <w:ind w:left="0"/>
              <w:jc w:val="both"/>
              <w:rPr>
                <w:rFonts w:ascii="Arial" w:hAnsi="Arial" w:cs="Arial"/>
              </w:rPr>
            </w:pPr>
            <w:r w:rsidRPr="004B076B">
              <w:rPr>
                <w:rFonts w:ascii="Arial" w:hAnsi="Arial" w:cs="Arial"/>
              </w:rPr>
              <w:t>$59m</w:t>
            </w:r>
          </w:p>
          <w:p w14:paraId="0F48BD7C" w14:textId="77777777" w:rsidR="00C276FE" w:rsidRPr="004B076B" w:rsidRDefault="00C276FE" w:rsidP="00C276FE">
            <w:pPr>
              <w:pStyle w:val="ListParagraph"/>
              <w:spacing w:line="276" w:lineRule="auto"/>
              <w:ind w:left="0"/>
              <w:jc w:val="both"/>
              <w:rPr>
                <w:rFonts w:ascii="Arial" w:hAnsi="Arial" w:cs="Arial"/>
              </w:rPr>
            </w:pPr>
            <w:r w:rsidRPr="004B076B">
              <w:rPr>
                <w:rFonts w:ascii="Arial" w:hAnsi="Arial" w:cs="Arial"/>
              </w:rPr>
              <w:t>$18m</w:t>
            </w:r>
          </w:p>
          <w:p w14:paraId="30B0732C" w14:textId="77777777" w:rsidR="00C276FE" w:rsidRPr="004B076B" w:rsidRDefault="00C276FE" w:rsidP="00C276FE">
            <w:pPr>
              <w:pStyle w:val="ListParagraph"/>
              <w:spacing w:line="276" w:lineRule="auto"/>
              <w:ind w:left="0"/>
              <w:jc w:val="both"/>
              <w:rPr>
                <w:rFonts w:ascii="Arial" w:hAnsi="Arial" w:cs="Arial"/>
              </w:rPr>
            </w:pPr>
            <w:r w:rsidRPr="004B076B">
              <w:rPr>
                <w:rFonts w:ascii="Arial" w:hAnsi="Arial" w:cs="Arial"/>
              </w:rPr>
              <w:t>$9m</w:t>
            </w:r>
          </w:p>
          <w:p w14:paraId="1E06E443" w14:textId="7458B0F5" w:rsidR="00C276FE" w:rsidRPr="004B076B" w:rsidRDefault="00C276FE" w:rsidP="00C276FE">
            <w:pPr>
              <w:pStyle w:val="ListParagraph"/>
              <w:spacing w:line="276" w:lineRule="auto"/>
              <w:ind w:left="0"/>
              <w:jc w:val="both"/>
              <w:rPr>
                <w:rFonts w:ascii="Arial" w:hAnsi="Arial" w:cs="Arial"/>
              </w:rPr>
            </w:pPr>
            <w:r w:rsidRPr="004B076B">
              <w:rPr>
                <w:rFonts w:ascii="Arial" w:hAnsi="Arial" w:cs="Arial"/>
              </w:rPr>
              <w:t>5.5%</w:t>
            </w:r>
          </w:p>
          <w:p w14:paraId="7DBB9235" w14:textId="16F12A6C" w:rsidR="00C276FE" w:rsidRPr="004B076B" w:rsidRDefault="00C276FE" w:rsidP="00C276FE">
            <w:pPr>
              <w:pStyle w:val="ListParagraph"/>
              <w:spacing w:line="276" w:lineRule="auto"/>
              <w:ind w:left="0"/>
              <w:jc w:val="both"/>
              <w:rPr>
                <w:rFonts w:ascii="Arial" w:hAnsi="Arial" w:cs="Arial"/>
              </w:rPr>
            </w:pPr>
            <w:r w:rsidRPr="004B076B">
              <w:rPr>
                <w:rFonts w:ascii="Arial" w:hAnsi="Arial" w:cs="Arial"/>
              </w:rPr>
              <w:t>5.9%</w:t>
            </w:r>
          </w:p>
          <w:p w14:paraId="31BD7B62" w14:textId="5E8CAAFF" w:rsidR="00C276FE" w:rsidRPr="004B076B" w:rsidRDefault="00C276FE" w:rsidP="00C276FE">
            <w:pPr>
              <w:pStyle w:val="ListParagraph"/>
              <w:spacing w:line="276" w:lineRule="auto"/>
              <w:ind w:left="0"/>
              <w:jc w:val="both"/>
              <w:rPr>
                <w:rFonts w:ascii="Arial" w:hAnsi="Arial" w:cs="Arial"/>
                <w:sz w:val="22"/>
                <w:szCs w:val="22"/>
                <w:lang w:val="en-US"/>
              </w:rPr>
            </w:pPr>
          </w:p>
        </w:tc>
      </w:tr>
    </w:tbl>
    <w:p w14:paraId="3E90CD71" w14:textId="4A9B9F6D" w:rsidR="00C276FE" w:rsidRPr="004B076B" w:rsidRDefault="00F73ED2" w:rsidP="00C276FE">
      <w:pPr>
        <w:pStyle w:val="ListParagraph"/>
        <w:spacing w:line="276" w:lineRule="auto"/>
        <w:jc w:val="both"/>
        <w:rPr>
          <w:rFonts w:ascii="Arial" w:hAnsi="Arial" w:cs="Arial"/>
          <w:sz w:val="22"/>
          <w:szCs w:val="22"/>
          <w:lang w:val="en-US"/>
        </w:rPr>
      </w:pPr>
      <w:r w:rsidRPr="004B076B">
        <w:rPr>
          <w:rFonts w:ascii="Arial" w:hAnsi="Arial" w:cs="Arial"/>
        </w:rPr>
        <w:t xml:space="preserve">Advise </w:t>
      </w:r>
      <w:r w:rsidR="004B076B">
        <w:rPr>
          <w:rFonts w:ascii="Arial" w:hAnsi="Arial" w:cs="Arial"/>
        </w:rPr>
        <w:t>Prima</w:t>
      </w:r>
      <w:r w:rsidRPr="004B076B">
        <w:rPr>
          <w:rFonts w:ascii="Arial" w:hAnsi="Arial" w:cs="Arial"/>
        </w:rPr>
        <w:t xml:space="preserve"> Co on the principles of accounting for the pension scheme, including calculations, for the year to 30 September 20X5.</w:t>
      </w:r>
    </w:p>
    <w:p w14:paraId="0C7A3F80" w14:textId="34E70E4D" w:rsidR="00857296" w:rsidRPr="004B076B" w:rsidRDefault="00C21B1E" w:rsidP="00857296">
      <w:pPr>
        <w:pStyle w:val="ListParagraph"/>
        <w:numPr>
          <w:ilvl w:val="0"/>
          <w:numId w:val="20"/>
        </w:numPr>
        <w:spacing w:line="276" w:lineRule="auto"/>
        <w:jc w:val="both"/>
        <w:rPr>
          <w:rFonts w:ascii="Arial" w:hAnsi="Arial" w:cs="Arial"/>
          <w:sz w:val="22"/>
          <w:szCs w:val="22"/>
          <w:lang w:val="en-US"/>
        </w:rPr>
      </w:pPr>
      <w:r w:rsidRPr="004B076B">
        <w:rPr>
          <w:rFonts w:ascii="Arial" w:hAnsi="Arial" w:cs="Arial"/>
          <w:sz w:val="22"/>
          <w:szCs w:val="22"/>
          <w:lang w:val="en-US"/>
        </w:rPr>
        <w:t>Briefly explain the limitations of segmental reporting,</w:t>
      </w:r>
    </w:p>
    <w:p w14:paraId="219C9B4D" w14:textId="77777777" w:rsidR="004B076B" w:rsidRPr="004B076B" w:rsidRDefault="004B076B" w:rsidP="00857296">
      <w:pPr>
        <w:pStyle w:val="ListParagraph"/>
        <w:numPr>
          <w:ilvl w:val="0"/>
          <w:numId w:val="20"/>
        </w:numPr>
        <w:spacing w:line="276" w:lineRule="auto"/>
        <w:jc w:val="both"/>
        <w:rPr>
          <w:rFonts w:ascii="Arial" w:hAnsi="Arial" w:cs="Arial"/>
          <w:sz w:val="22"/>
          <w:szCs w:val="22"/>
          <w:lang w:val="en-US"/>
        </w:rPr>
      </w:pPr>
      <w:r>
        <w:lastRenderedPageBreak/>
        <w:t xml:space="preserve">The Portugal group of companies has a financial year end of 30 June 20X4. The financial statements were authorised three months later. The group is disposing of many of its subsidiaries, each of which is a separate major line of business or geographical area. </w:t>
      </w:r>
    </w:p>
    <w:p w14:paraId="35A38F54" w14:textId="77777777" w:rsidR="004B076B" w:rsidRDefault="004B076B" w:rsidP="004B076B">
      <w:pPr>
        <w:pStyle w:val="ListParagraph"/>
        <w:spacing w:line="276" w:lineRule="auto"/>
        <w:jc w:val="both"/>
      </w:pPr>
      <w:r>
        <w:sym w:font="Symbol" w:char="F0B7"/>
      </w:r>
      <w:r>
        <w:t xml:space="preserve"> A subsidiary, England, was sold on 1 January 20X4. </w:t>
      </w:r>
    </w:p>
    <w:p w14:paraId="44E01ACE" w14:textId="77777777" w:rsidR="004B076B" w:rsidRDefault="004B076B" w:rsidP="004B076B">
      <w:pPr>
        <w:pStyle w:val="ListParagraph"/>
        <w:spacing w:line="276" w:lineRule="auto"/>
        <w:jc w:val="both"/>
      </w:pPr>
      <w:r>
        <w:sym w:font="Symbol" w:char="F0B7"/>
      </w:r>
      <w:r>
        <w:t xml:space="preserve"> On 1 January 20X4, an announcement was made that there were advanced negotiations to sell subsidiary Switzerland and that, subject to regulatory approval, this was expected to be completed by 31 October 20X4. </w:t>
      </w:r>
    </w:p>
    <w:p w14:paraId="65033A92" w14:textId="77777777" w:rsidR="004B076B" w:rsidRDefault="004B076B" w:rsidP="004B076B">
      <w:pPr>
        <w:pStyle w:val="ListParagraph"/>
        <w:spacing w:line="276" w:lineRule="auto"/>
        <w:jc w:val="both"/>
      </w:pPr>
      <w:r>
        <w:sym w:font="Symbol" w:char="F0B7"/>
      </w:r>
      <w:r>
        <w:t xml:space="preserve"> The board has also decided to sell a subsidiary called France. An agent has been appointed to find a suitable buyer but none have yet emerged. The agent’s advice is that potential buyers are deterred by the expected price that Portugal hopes to achieve. </w:t>
      </w:r>
    </w:p>
    <w:p w14:paraId="3DEA73E9" w14:textId="77777777" w:rsidR="004B076B" w:rsidRDefault="004B076B" w:rsidP="004B076B">
      <w:pPr>
        <w:pStyle w:val="ListParagraph"/>
        <w:spacing w:line="276" w:lineRule="auto"/>
        <w:jc w:val="both"/>
      </w:pPr>
      <w:r>
        <w:sym w:font="Symbol" w:char="F0B7"/>
      </w:r>
      <w:r>
        <w:t xml:space="preserve"> On 10 July 20X4, an announcement was made that another subsidiary, Croatia, was for sale. It was sold on 10 September 20X4. </w:t>
      </w:r>
    </w:p>
    <w:p w14:paraId="074642B3" w14:textId="1607A24F" w:rsidR="009B7351" w:rsidRPr="004B076B" w:rsidRDefault="004B076B" w:rsidP="004B076B">
      <w:pPr>
        <w:pStyle w:val="ListParagraph"/>
        <w:spacing w:line="276" w:lineRule="auto"/>
        <w:jc w:val="both"/>
        <w:rPr>
          <w:rFonts w:ascii="Arial" w:hAnsi="Arial" w:cs="Arial"/>
          <w:sz w:val="22"/>
          <w:szCs w:val="22"/>
          <w:lang w:val="en-US"/>
        </w:rPr>
      </w:pPr>
      <w:r>
        <w:t>Explain whether each of these subsidiaries meets the definition of a 'discontinued operation' as defined by IFRS 5.</w:t>
      </w:r>
    </w:p>
    <w:p w14:paraId="48E2BD1C" w14:textId="77777777" w:rsidR="00857296" w:rsidRPr="004B076B" w:rsidRDefault="00857296" w:rsidP="00857296">
      <w:pPr>
        <w:spacing w:after="0"/>
        <w:jc w:val="center"/>
        <w:rPr>
          <w:rFonts w:ascii="Arial" w:hAnsi="Arial" w:cs="Arial"/>
          <w:b/>
          <w:bCs/>
          <w:lang w:val="en-US"/>
        </w:rPr>
      </w:pPr>
      <w:bookmarkStart w:id="2" w:name="_Hlk129443299"/>
      <w:r w:rsidRPr="004B076B">
        <w:rPr>
          <w:rFonts w:ascii="Arial" w:hAnsi="Arial" w:cs="Arial"/>
          <w:b/>
          <w:bCs/>
          <w:lang w:val="en-US"/>
        </w:rPr>
        <w:t>Part – C</w:t>
      </w:r>
      <w:bookmarkEnd w:id="2"/>
    </w:p>
    <w:p w14:paraId="3D7DAA12" w14:textId="77777777" w:rsidR="00857296" w:rsidRPr="004B076B" w:rsidRDefault="00857296" w:rsidP="00857296">
      <w:pPr>
        <w:jc w:val="center"/>
        <w:rPr>
          <w:rFonts w:ascii="Arial" w:hAnsi="Arial" w:cs="Arial"/>
          <w:b/>
          <w:bCs/>
          <w:lang w:val="en-US"/>
        </w:rPr>
      </w:pPr>
      <w:r w:rsidRPr="004B076B">
        <w:rPr>
          <w:rFonts w:ascii="Arial" w:hAnsi="Arial" w:cs="Arial"/>
          <w:b/>
          <w:bCs/>
          <w:lang w:val="en-US"/>
        </w:rPr>
        <w:t>Answer any 2 of the following. Each question carries 10 marks.</w:t>
      </w:r>
      <w:r w:rsidRPr="004B076B">
        <w:rPr>
          <w:rFonts w:ascii="Arial" w:hAnsi="Arial" w:cs="Arial"/>
          <w:b/>
          <w:bCs/>
          <w:lang w:val="en-US"/>
        </w:rPr>
        <w:tab/>
      </w:r>
      <w:r w:rsidRPr="004B076B">
        <w:rPr>
          <w:rFonts w:ascii="Arial" w:hAnsi="Arial" w:cs="Arial"/>
          <w:b/>
          <w:bCs/>
          <w:lang w:val="en-US"/>
        </w:rPr>
        <w:tab/>
      </w:r>
      <w:r w:rsidRPr="004B076B">
        <w:rPr>
          <w:rFonts w:ascii="Arial" w:hAnsi="Arial" w:cs="Arial"/>
          <w:b/>
          <w:bCs/>
          <w:lang w:val="en-US"/>
        </w:rPr>
        <w:tab/>
        <w:t>(2 X 10 = 20)</w:t>
      </w:r>
    </w:p>
    <w:p w14:paraId="18F258A5" w14:textId="49EB5BB3" w:rsidR="00857296" w:rsidRPr="00E043A7" w:rsidRDefault="00857296" w:rsidP="00857296">
      <w:pPr>
        <w:pStyle w:val="ListParagraph"/>
        <w:numPr>
          <w:ilvl w:val="0"/>
          <w:numId w:val="20"/>
        </w:numPr>
        <w:spacing w:after="0" w:line="276" w:lineRule="auto"/>
        <w:jc w:val="both"/>
        <w:rPr>
          <w:rFonts w:ascii="Arial" w:hAnsi="Arial" w:cs="Arial"/>
          <w:sz w:val="22"/>
          <w:szCs w:val="22"/>
        </w:rPr>
      </w:pPr>
      <w:r w:rsidRPr="004B076B">
        <w:rPr>
          <w:rFonts w:ascii="Arial" w:hAnsi="Arial" w:cs="Arial"/>
          <w:sz w:val="22"/>
          <w:szCs w:val="22"/>
        </w:rPr>
        <w:t xml:space="preserve"> </w:t>
      </w:r>
      <w:r w:rsidR="00416370">
        <w:rPr>
          <w:rFonts w:ascii="Arial" w:hAnsi="Arial" w:cs="Arial"/>
        </w:rPr>
        <w:t>Dutch</w:t>
      </w:r>
      <w:r w:rsidR="008840C6" w:rsidRPr="004B076B">
        <w:rPr>
          <w:rFonts w:ascii="Arial" w:hAnsi="Arial" w:cs="Arial"/>
        </w:rPr>
        <w:t xml:space="preserve"> is a lessor and is drawing up a lease agreement for a building. The building has a remaining useful life of 50 years. The lease term, which would commence on 1 January 20X0, is for 30 years. </w:t>
      </w:r>
      <w:r w:rsidR="00416370">
        <w:rPr>
          <w:rFonts w:ascii="Arial" w:hAnsi="Arial" w:cs="Arial"/>
        </w:rPr>
        <w:t>Dutch</w:t>
      </w:r>
      <w:r w:rsidR="008840C6" w:rsidRPr="004B076B">
        <w:rPr>
          <w:rFonts w:ascii="Arial" w:hAnsi="Arial" w:cs="Arial"/>
        </w:rPr>
        <w:t xml:space="preserve"> would receive 40% of the asset’s value upfront from the lessee. At the end of each of the 30 years, </w:t>
      </w:r>
      <w:r w:rsidR="00416370">
        <w:rPr>
          <w:rFonts w:ascii="Arial" w:hAnsi="Arial" w:cs="Arial"/>
        </w:rPr>
        <w:t>Dutch</w:t>
      </w:r>
      <w:r w:rsidR="008840C6" w:rsidRPr="004B076B">
        <w:rPr>
          <w:rFonts w:ascii="Arial" w:hAnsi="Arial" w:cs="Arial"/>
        </w:rPr>
        <w:t xml:space="preserve"> will receive 6% of the asset’s fair value as at 1 January 20X0. Legal title at the end of the lease remains with </w:t>
      </w:r>
      <w:r w:rsidR="00416370">
        <w:rPr>
          <w:rFonts w:ascii="Arial" w:hAnsi="Arial" w:cs="Arial"/>
        </w:rPr>
        <w:t>Dutch</w:t>
      </w:r>
      <w:r w:rsidR="008840C6" w:rsidRPr="004B076B">
        <w:rPr>
          <w:rFonts w:ascii="Arial" w:hAnsi="Arial" w:cs="Arial"/>
        </w:rPr>
        <w:t xml:space="preserve">, but the lessee can continue to lease the asset indefinitely at a rental that is substantially below its market value. If the lessee cancels the lease, it must make a payment to </w:t>
      </w:r>
      <w:r w:rsidR="00416370">
        <w:rPr>
          <w:rFonts w:ascii="Arial" w:hAnsi="Arial" w:cs="Arial"/>
        </w:rPr>
        <w:t>Dutch</w:t>
      </w:r>
      <w:r w:rsidR="008840C6" w:rsidRPr="004B076B">
        <w:rPr>
          <w:rFonts w:ascii="Arial" w:hAnsi="Arial" w:cs="Arial"/>
        </w:rPr>
        <w:t xml:space="preserve"> to recover its remaining investment. As per IFRS 16 Leases, should the lease be classified as an operating lease or a finance lease?</w:t>
      </w:r>
    </w:p>
    <w:p w14:paraId="0DEDF6B3" w14:textId="77777777" w:rsidR="00E043A7" w:rsidRPr="004B076B" w:rsidRDefault="00E043A7" w:rsidP="00E043A7">
      <w:pPr>
        <w:pStyle w:val="ListParagraph"/>
        <w:spacing w:after="0" w:line="276" w:lineRule="auto"/>
        <w:jc w:val="both"/>
        <w:rPr>
          <w:rFonts w:ascii="Arial" w:hAnsi="Arial" w:cs="Arial"/>
          <w:sz w:val="22"/>
          <w:szCs w:val="22"/>
        </w:rPr>
      </w:pPr>
    </w:p>
    <w:p w14:paraId="7525C2EE" w14:textId="77777777" w:rsidR="009B7351" w:rsidRPr="004B076B" w:rsidRDefault="009B7351" w:rsidP="009B7351">
      <w:pPr>
        <w:pStyle w:val="ListParagraph"/>
        <w:numPr>
          <w:ilvl w:val="0"/>
          <w:numId w:val="20"/>
        </w:numPr>
        <w:spacing w:line="276" w:lineRule="auto"/>
        <w:jc w:val="both"/>
        <w:rPr>
          <w:rFonts w:ascii="Arial" w:hAnsi="Arial" w:cs="Arial"/>
          <w:sz w:val="22"/>
          <w:szCs w:val="22"/>
          <w:lang w:val="en-US"/>
        </w:rPr>
      </w:pPr>
      <w:r w:rsidRPr="004B076B">
        <w:rPr>
          <w:rFonts w:ascii="Arial" w:hAnsi="Arial" w:cs="Arial"/>
        </w:rPr>
        <w:t>P purchased 60% of the shares of S on 1 January 20X1. At the acquisition date, S had share capital of $10,000 and retained earnings of $190,000. The property, plant and equipment of S includes land with a carrying amount of $10,000 but a fair value of $50,000. Included within the intangible assets of S is goodwill of $20,000 which arose on the purchase of the trade and assets of a sole trader business. S has an internally generated brand that is not recognised (in accordance with IAS 38 Intangible Assets). The directors of P believe that this brand has a fair value of $150,000.</w:t>
      </w:r>
    </w:p>
    <w:p w14:paraId="44B40B90" w14:textId="77777777" w:rsidR="009B7351" w:rsidRPr="004B076B" w:rsidRDefault="009B7351" w:rsidP="009B7351">
      <w:pPr>
        <w:pStyle w:val="ListParagraph"/>
        <w:spacing w:line="276" w:lineRule="auto"/>
        <w:jc w:val="both"/>
        <w:rPr>
          <w:rFonts w:ascii="Arial" w:hAnsi="Arial" w:cs="Arial"/>
        </w:rPr>
      </w:pPr>
      <w:r w:rsidRPr="004B076B">
        <w:rPr>
          <w:rFonts w:ascii="Arial" w:hAnsi="Arial" w:cs="Arial"/>
        </w:rPr>
        <w:t xml:space="preserve">In accordance with IAS 37 Provisions, Contingent Liabilities and Contingent Assets, the financial statements of S disclose the fact that a customer has initiated legal proceedings against them. If the customer wins, which lawyers have advised is unlikely, estimated damages would be $1 million. The fair value of this contingent liability has been assessed as $100,000 at the acquisition date. The directors of P wish to close one of the divisions of S. They estimate that this will cost $200,000 in redundancy payments. </w:t>
      </w:r>
    </w:p>
    <w:p w14:paraId="243F7F32" w14:textId="4A2C6AC1" w:rsidR="00857296" w:rsidRPr="004B076B" w:rsidRDefault="009B7351" w:rsidP="009B7351">
      <w:pPr>
        <w:pStyle w:val="ListParagraph"/>
        <w:spacing w:after="0" w:line="276" w:lineRule="auto"/>
        <w:jc w:val="both"/>
        <w:rPr>
          <w:rFonts w:ascii="Arial" w:hAnsi="Arial" w:cs="Arial"/>
          <w:sz w:val="22"/>
          <w:szCs w:val="22"/>
        </w:rPr>
      </w:pPr>
      <w:r w:rsidRPr="004B076B">
        <w:rPr>
          <w:rFonts w:ascii="Arial" w:hAnsi="Arial" w:cs="Arial"/>
        </w:rPr>
        <w:t>Discuss, with calculations, the fair value of S’s identifiable net assets at the acquisition date.</w:t>
      </w:r>
    </w:p>
    <w:p w14:paraId="32FF5F0E" w14:textId="49E02DE1" w:rsidR="00857296" w:rsidRPr="004B076B" w:rsidRDefault="00B20228" w:rsidP="00857296">
      <w:pPr>
        <w:pStyle w:val="ListParagraph"/>
        <w:numPr>
          <w:ilvl w:val="0"/>
          <w:numId w:val="20"/>
        </w:numPr>
        <w:spacing w:after="0" w:line="276" w:lineRule="auto"/>
        <w:jc w:val="both"/>
        <w:rPr>
          <w:rFonts w:ascii="Arial" w:hAnsi="Arial" w:cs="Arial"/>
          <w:sz w:val="22"/>
          <w:szCs w:val="22"/>
        </w:rPr>
      </w:pPr>
      <w:r w:rsidRPr="004B076B">
        <w:rPr>
          <w:rFonts w:ascii="Arial" w:hAnsi="Arial" w:cs="Arial"/>
          <w:sz w:val="22"/>
          <w:szCs w:val="22"/>
        </w:rPr>
        <w:t>Explain the criticisms of IAS 21.</w:t>
      </w:r>
    </w:p>
    <w:p w14:paraId="09EE7747" w14:textId="77777777" w:rsidR="00857296" w:rsidRPr="004B076B" w:rsidRDefault="00857296" w:rsidP="00857296">
      <w:pPr>
        <w:spacing w:after="0" w:line="360" w:lineRule="auto"/>
        <w:jc w:val="center"/>
        <w:rPr>
          <w:rFonts w:ascii="Arial" w:hAnsi="Arial" w:cs="Arial"/>
          <w:b/>
          <w:bCs/>
          <w:lang w:val="en-US"/>
        </w:rPr>
      </w:pPr>
      <w:r w:rsidRPr="004B076B">
        <w:rPr>
          <w:rFonts w:ascii="Arial" w:hAnsi="Arial" w:cs="Arial"/>
          <w:b/>
          <w:bCs/>
          <w:lang w:val="en-US"/>
        </w:rPr>
        <w:t>Part – D</w:t>
      </w:r>
    </w:p>
    <w:p w14:paraId="1C629472" w14:textId="77777777" w:rsidR="00857296" w:rsidRPr="004B076B" w:rsidRDefault="00857296" w:rsidP="00857296">
      <w:pPr>
        <w:ind w:right="-188"/>
        <w:jc w:val="both"/>
        <w:rPr>
          <w:rFonts w:ascii="Arial" w:hAnsi="Arial" w:cs="Arial"/>
          <w:b/>
          <w:bCs/>
          <w:lang w:val="en-US"/>
        </w:rPr>
      </w:pPr>
      <w:r w:rsidRPr="004B076B">
        <w:rPr>
          <w:rFonts w:ascii="Arial" w:hAnsi="Arial" w:cs="Arial"/>
          <w:b/>
          <w:bCs/>
          <w:lang w:val="en-US"/>
        </w:rPr>
        <w:t xml:space="preserve">Answer the following compulsory question. The question carries 15 marks. </w:t>
      </w:r>
      <w:r w:rsidRPr="004B076B">
        <w:rPr>
          <w:rFonts w:ascii="Arial" w:hAnsi="Arial" w:cs="Arial"/>
          <w:b/>
          <w:bCs/>
          <w:lang w:val="en-US"/>
        </w:rPr>
        <w:tab/>
        <w:t>(1X15 = 15)</w:t>
      </w:r>
    </w:p>
    <w:p w14:paraId="0CE58EFE" w14:textId="3BB14019" w:rsidR="00857296" w:rsidRPr="004B076B" w:rsidRDefault="00416370" w:rsidP="005009C1">
      <w:pPr>
        <w:pStyle w:val="ListParagraph"/>
        <w:numPr>
          <w:ilvl w:val="0"/>
          <w:numId w:val="20"/>
        </w:numPr>
        <w:ind w:right="-24"/>
        <w:jc w:val="both"/>
        <w:rPr>
          <w:rFonts w:ascii="Arial" w:hAnsi="Arial" w:cs="Arial"/>
          <w:sz w:val="22"/>
          <w:szCs w:val="22"/>
          <w:lang w:val="en-US"/>
        </w:rPr>
      </w:pPr>
      <w:r>
        <w:rPr>
          <w:rFonts w:ascii="Arial" w:hAnsi="Arial" w:cs="Arial"/>
        </w:rPr>
        <w:t>Aron</w:t>
      </w:r>
      <w:r w:rsidR="005009C1" w:rsidRPr="004B076B">
        <w:rPr>
          <w:rFonts w:ascii="Arial" w:hAnsi="Arial" w:cs="Arial"/>
        </w:rPr>
        <w:t xml:space="preserve"> has owned 90% of the ordinary shares of </w:t>
      </w:r>
      <w:r>
        <w:rPr>
          <w:rFonts w:ascii="Arial" w:hAnsi="Arial" w:cs="Arial"/>
        </w:rPr>
        <w:t>Fauna</w:t>
      </w:r>
      <w:r w:rsidR="005009C1" w:rsidRPr="004B076B">
        <w:rPr>
          <w:rFonts w:ascii="Arial" w:hAnsi="Arial" w:cs="Arial"/>
        </w:rPr>
        <w:t xml:space="preserve"> for many years. </w:t>
      </w:r>
      <w:r>
        <w:rPr>
          <w:rFonts w:ascii="Arial" w:hAnsi="Arial" w:cs="Arial"/>
        </w:rPr>
        <w:t>Aron</w:t>
      </w:r>
      <w:r w:rsidR="005009C1" w:rsidRPr="004B076B">
        <w:rPr>
          <w:rFonts w:ascii="Arial" w:hAnsi="Arial" w:cs="Arial"/>
        </w:rPr>
        <w:t xml:space="preserve"> also has a 10% investment in the shares of Byrne, which was measured at fair value through profit or loss </w:t>
      </w:r>
      <w:r w:rsidR="005009C1" w:rsidRPr="004B076B">
        <w:rPr>
          <w:rFonts w:ascii="Arial" w:hAnsi="Arial" w:cs="Arial"/>
        </w:rPr>
        <w:lastRenderedPageBreak/>
        <w:t xml:space="preserve">and held in the consolidated statement of financial position as at 31 December 20X6 at $24,000 in accordance with IFRS 9 Financial Instruments. On 30 June 20X7, </w:t>
      </w:r>
      <w:r>
        <w:rPr>
          <w:rFonts w:ascii="Arial" w:hAnsi="Arial" w:cs="Arial"/>
        </w:rPr>
        <w:t>Aron</w:t>
      </w:r>
      <w:r w:rsidR="005009C1" w:rsidRPr="004B076B">
        <w:rPr>
          <w:rFonts w:ascii="Arial" w:hAnsi="Arial" w:cs="Arial"/>
        </w:rPr>
        <w:t xml:space="preserve"> acquired a further 50% of Byrne’s equity shares at a cost of $160,000. The draft statements of profit or loss for the three companies for the year ended 31 December 20X7 are presented below:</w:t>
      </w:r>
      <w:bookmarkEnd w:id="1"/>
    </w:p>
    <w:p w14:paraId="05C95012" w14:textId="1D5AEEC4" w:rsidR="005009C1" w:rsidRPr="004B076B" w:rsidRDefault="005009C1" w:rsidP="005009C1">
      <w:pPr>
        <w:pStyle w:val="ListParagraph"/>
        <w:ind w:right="-24"/>
        <w:jc w:val="center"/>
        <w:rPr>
          <w:rFonts w:ascii="Arial" w:hAnsi="Arial" w:cs="Arial"/>
        </w:rPr>
      </w:pPr>
      <w:r w:rsidRPr="004B076B">
        <w:rPr>
          <w:rFonts w:ascii="Arial" w:hAnsi="Arial" w:cs="Arial"/>
        </w:rPr>
        <w:t>Statements of profit or loss for the year ended 31 December 20X7</w:t>
      </w:r>
    </w:p>
    <w:tbl>
      <w:tblPr>
        <w:tblStyle w:val="TableGrid"/>
        <w:tblW w:w="0" w:type="auto"/>
        <w:tblInd w:w="720" w:type="dxa"/>
        <w:tblLook w:val="04A0" w:firstRow="1" w:lastRow="0" w:firstColumn="1" w:lastColumn="0" w:noHBand="0" w:noVBand="1"/>
      </w:tblPr>
      <w:tblGrid>
        <w:gridCol w:w="2461"/>
        <w:gridCol w:w="2425"/>
        <w:gridCol w:w="2425"/>
        <w:gridCol w:w="2425"/>
      </w:tblGrid>
      <w:tr w:rsidR="005009C1" w:rsidRPr="004B076B" w14:paraId="63C23191" w14:textId="77777777" w:rsidTr="005009C1">
        <w:tc>
          <w:tcPr>
            <w:tcW w:w="2461" w:type="dxa"/>
          </w:tcPr>
          <w:p w14:paraId="6367C428" w14:textId="77777777" w:rsidR="005009C1" w:rsidRPr="004B076B" w:rsidRDefault="005009C1" w:rsidP="005009C1">
            <w:pPr>
              <w:pStyle w:val="ListParagraph"/>
              <w:ind w:left="0" w:right="-24"/>
              <w:jc w:val="center"/>
              <w:rPr>
                <w:rFonts w:ascii="Arial" w:hAnsi="Arial" w:cs="Arial"/>
                <w:sz w:val="22"/>
                <w:szCs w:val="22"/>
                <w:lang w:val="en-US"/>
              </w:rPr>
            </w:pPr>
          </w:p>
        </w:tc>
        <w:tc>
          <w:tcPr>
            <w:tcW w:w="2425" w:type="dxa"/>
          </w:tcPr>
          <w:p w14:paraId="1EDD2FE3" w14:textId="2F12ECE6" w:rsidR="005009C1" w:rsidRPr="004B076B" w:rsidRDefault="00416370" w:rsidP="005009C1">
            <w:pPr>
              <w:pStyle w:val="ListParagraph"/>
              <w:ind w:left="0" w:right="-24"/>
              <w:jc w:val="center"/>
              <w:rPr>
                <w:rFonts w:ascii="Arial" w:hAnsi="Arial" w:cs="Arial"/>
                <w:b/>
                <w:bCs/>
                <w:sz w:val="22"/>
                <w:szCs w:val="22"/>
                <w:lang w:val="en-US"/>
              </w:rPr>
            </w:pPr>
            <w:r>
              <w:rPr>
                <w:rFonts w:ascii="Arial" w:hAnsi="Arial" w:cs="Arial"/>
                <w:b/>
                <w:bCs/>
                <w:sz w:val="22"/>
                <w:szCs w:val="22"/>
                <w:lang w:val="en-US"/>
              </w:rPr>
              <w:t>Aron</w:t>
            </w:r>
            <w:r w:rsidR="005009C1" w:rsidRPr="004B076B">
              <w:rPr>
                <w:rFonts w:ascii="Arial" w:hAnsi="Arial" w:cs="Arial"/>
                <w:b/>
                <w:bCs/>
                <w:sz w:val="22"/>
                <w:szCs w:val="22"/>
                <w:lang w:val="en-US"/>
              </w:rPr>
              <w:t xml:space="preserve"> ($’000)</w:t>
            </w:r>
          </w:p>
        </w:tc>
        <w:tc>
          <w:tcPr>
            <w:tcW w:w="2425" w:type="dxa"/>
          </w:tcPr>
          <w:p w14:paraId="2682ECE3" w14:textId="603E5266" w:rsidR="005009C1" w:rsidRPr="004B076B" w:rsidRDefault="00416370" w:rsidP="005009C1">
            <w:pPr>
              <w:pStyle w:val="ListParagraph"/>
              <w:ind w:left="0" w:right="-24"/>
              <w:jc w:val="center"/>
              <w:rPr>
                <w:rFonts w:ascii="Arial" w:hAnsi="Arial" w:cs="Arial"/>
                <w:b/>
                <w:bCs/>
                <w:sz w:val="22"/>
                <w:szCs w:val="22"/>
                <w:lang w:val="en-US"/>
              </w:rPr>
            </w:pPr>
            <w:r>
              <w:rPr>
                <w:rFonts w:ascii="Arial" w:hAnsi="Arial" w:cs="Arial"/>
                <w:b/>
                <w:bCs/>
                <w:sz w:val="22"/>
                <w:szCs w:val="22"/>
                <w:lang w:val="en-US"/>
              </w:rPr>
              <w:t>Fauna</w:t>
            </w:r>
            <w:r w:rsidR="005009C1" w:rsidRPr="004B076B">
              <w:rPr>
                <w:rFonts w:ascii="Arial" w:hAnsi="Arial" w:cs="Arial"/>
                <w:b/>
                <w:bCs/>
                <w:sz w:val="22"/>
                <w:szCs w:val="22"/>
                <w:lang w:val="en-US"/>
              </w:rPr>
              <w:t xml:space="preserve"> ($’000)</w:t>
            </w:r>
          </w:p>
        </w:tc>
        <w:tc>
          <w:tcPr>
            <w:tcW w:w="2425" w:type="dxa"/>
          </w:tcPr>
          <w:p w14:paraId="07C676A4" w14:textId="1EDFE51E" w:rsidR="005009C1" w:rsidRPr="004B076B" w:rsidRDefault="005009C1" w:rsidP="005009C1">
            <w:pPr>
              <w:pStyle w:val="ListParagraph"/>
              <w:ind w:left="0" w:right="-24"/>
              <w:jc w:val="center"/>
              <w:rPr>
                <w:rFonts w:ascii="Arial" w:hAnsi="Arial" w:cs="Arial"/>
                <w:b/>
                <w:bCs/>
                <w:sz w:val="22"/>
                <w:szCs w:val="22"/>
                <w:lang w:val="en-US"/>
              </w:rPr>
            </w:pPr>
            <w:r w:rsidRPr="004B076B">
              <w:rPr>
                <w:rFonts w:ascii="Arial" w:hAnsi="Arial" w:cs="Arial"/>
                <w:b/>
                <w:bCs/>
                <w:sz w:val="22"/>
                <w:szCs w:val="22"/>
                <w:lang w:val="en-US"/>
              </w:rPr>
              <w:t>Byrne ($’000)</w:t>
            </w:r>
          </w:p>
        </w:tc>
      </w:tr>
      <w:tr w:rsidR="005009C1" w:rsidRPr="004B076B" w14:paraId="43883057" w14:textId="77777777" w:rsidTr="005009C1">
        <w:tc>
          <w:tcPr>
            <w:tcW w:w="2461" w:type="dxa"/>
          </w:tcPr>
          <w:p w14:paraId="3E9BDA10" w14:textId="106E2FF3" w:rsidR="005009C1" w:rsidRPr="004B076B" w:rsidRDefault="005009C1" w:rsidP="005009C1">
            <w:pPr>
              <w:pStyle w:val="ListParagraph"/>
              <w:ind w:left="0" w:right="-24"/>
              <w:rPr>
                <w:rFonts w:ascii="Arial" w:hAnsi="Arial" w:cs="Arial"/>
                <w:sz w:val="22"/>
                <w:szCs w:val="22"/>
                <w:lang w:val="en-US"/>
              </w:rPr>
            </w:pPr>
            <w:r w:rsidRPr="004B076B">
              <w:rPr>
                <w:rFonts w:ascii="Arial" w:hAnsi="Arial" w:cs="Arial"/>
                <w:sz w:val="22"/>
                <w:szCs w:val="22"/>
                <w:lang w:val="en-US"/>
              </w:rPr>
              <w:t>Revenue</w:t>
            </w:r>
          </w:p>
          <w:p w14:paraId="6D63CEC7" w14:textId="77777777" w:rsidR="005009C1" w:rsidRPr="004B076B" w:rsidRDefault="005009C1" w:rsidP="005009C1">
            <w:pPr>
              <w:pStyle w:val="ListParagraph"/>
              <w:ind w:left="0" w:right="-24"/>
              <w:rPr>
                <w:rFonts w:ascii="Arial" w:hAnsi="Arial" w:cs="Arial"/>
                <w:sz w:val="22"/>
                <w:szCs w:val="22"/>
                <w:lang w:val="en-US"/>
              </w:rPr>
            </w:pPr>
            <w:r w:rsidRPr="004B076B">
              <w:rPr>
                <w:rFonts w:ascii="Arial" w:hAnsi="Arial" w:cs="Arial"/>
                <w:sz w:val="22"/>
                <w:szCs w:val="22"/>
                <w:lang w:val="en-US"/>
              </w:rPr>
              <w:t>Cost of sales</w:t>
            </w:r>
          </w:p>
          <w:p w14:paraId="6E6BFB23" w14:textId="77777777" w:rsidR="005009C1" w:rsidRPr="004B076B" w:rsidRDefault="005009C1" w:rsidP="005009C1">
            <w:pPr>
              <w:pStyle w:val="ListParagraph"/>
              <w:spacing w:line="276" w:lineRule="auto"/>
              <w:ind w:left="0" w:right="-24"/>
              <w:rPr>
                <w:rFonts w:ascii="Arial" w:hAnsi="Arial" w:cs="Arial"/>
                <w:sz w:val="22"/>
                <w:szCs w:val="22"/>
                <w:lang w:val="en-US"/>
              </w:rPr>
            </w:pPr>
            <w:r w:rsidRPr="004B076B">
              <w:rPr>
                <w:rFonts w:ascii="Arial" w:hAnsi="Arial" w:cs="Arial"/>
                <w:sz w:val="22"/>
                <w:szCs w:val="22"/>
                <w:lang w:val="en-US"/>
              </w:rPr>
              <w:t>Gross profit</w:t>
            </w:r>
          </w:p>
          <w:p w14:paraId="06675991" w14:textId="77777777" w:rsidR="005009C1" w:rsidRPr="004B076B" w:rsidRDefault="005009C1" w:rsidP="005009C1">
            <w:pPr>
              <w:pStyle w:val="ListParagraph"/>
              <w:ind w:left="0" w:right="-24"/>
              <w:rPr>
                <w:rFonts w:ascii="Arial" w:hAnsi="Arial" w:cs="Arial"/>
                <w:sz w:val="22"/>
                <w:szCs w:val="22"/>
                <w:lang w:val="en-US"/>
              </w:rPr>
            </w:pPr>
            <w:r w:rsidRPr="004B076B">
              <w:rPr>
                <w:rFonts w:ascii="Arial" w:hAnsi="Arial" w:cs="Arial"/>
                <w:sz w:val="22"/>
                <w:szCs w:val="22"/>
                <w:lang w:val="en-US"/>
              </w:rPr>
              <w:t>Operating costs</w:t>
            </w:r>
          </w:p>
          <w:p w14:paraId="66D3E65A" w14:textId="77777777" w:rsidR="005009C1" w:rsidRPr="004B076B" w:rsidRDefault="005009C1" w:rsidP="005009C1">
            <w:pPr>
              <w:pStyle w:val="ListParagraph"/>
              <w:ind w:left="0" w:right="-24"/>
              <w:rPr>
                <w:rFonts w:ascii="Arial" w:hAnsi="Arial" w:cs="Arial"/>
                <w:sz w:val="22"/>
                <w:szCs w:val="22"/>
                <w:lang w:val="en-US"/>
              </w:rPr>
            </w:pPr>
            <w:r w:rsidRPr="004B076B">
              <w:rPr>
                <w:rFonts w:ascii="Arial" w:hAnsi="Arial" w:cs="Arial"/>
                <w:sz w:val="22"/>
                <w:szCs w:val="22"/>
                <w:lang w:val="en-US"/>
              </w:rPr>
              <w:t>Profit from operations</w:t>
            </w:r>
          </w:p>
          <w:p w14:paraId="49CDE125" w14:textId="77777777" w:rsidR="005009C1" w:rsidRPr="004B076B" w:rsidRDefault="005009C1" w:rsidP="005009C1">
            <w:pPr>
              <w:pStyle w:val="ListParagraph"/>
              <w:ind w:left="0" w:right="-24"/>
              <w:rPr>
                <w:rFonts w:ascii="Arial" w:hAnsi="Arial" w:cs="Arial"/>
                <w:sz w:val="22"/>
                <w:szCs w:val="22"/>
                <w:lang w:val="en-US"/>
              </w:rPr>
            </w:pPr>
            <w:r w:rsidRPr="004B076B">
              <w:rPr>
                <w:rFonts w:ascii="Arial" w:hAnsi="Arial" w:cs="Arial"/>
                <w:sz w:val="22"/>
                <w:szCs w:val="22"/>
                <w:lang w:val="en-US"/>
              </w:rPr>
              <w:t>Income tax</w:t>
            </w:r>
          </w:p>
          <w:p w14:paraId="2BF46629" w14:textId="407C930A" w:rsidR="005009C1" w:rsidRPr="004B076B" w:rsidRDefault="005009C1" w:rsidP="005009C1">
            <w:pPr>
              <w:pStyle w:val="ListParagraph"/>
              <w:ind w:left="0" w:right="-24"/>
              <w:rPr>
                <w:rFonts w:ascii="Arial" w:hAnsi="Arial" w:cs="Arial"/>
                <w:sz w:val="22"/>
                <w:szCs w:val="22"/>
                <w:lang w:val="en-US"/>
              </w:rPr>
            </w:pPr>
            <w:r w:rsidRPr="004B076B">
              <w:rPr>
                <w:rFonts w:ascii="Arial" w:hAnsi="Arial" w:cs="Arial"/>
                <w:sz w:val="22"/>
                <w:szCs w:val="22"/>
                <w:lang w:val="en-US"/>
              </w:rPr>
              <w:t>Profit for the period</w:t>
            </w:r>
          </w:p>
        </w:tc>
        <w:tc>
          <w:tcPr>
            <w:tcW w:w="2425" w:type="dxa"/>
          </w:tcPr>
          <w:p w14:paraId="5103D2DD" w14:textId="77777777" w:rsidR="005009C1" w:rsidRPr="004B076B" w:rsidRDefault="005009C1" w:rsidP="005009C1">
            <w:pPr>
              <w:pStyle w:val="ListParagraph"/>
              <w:ind w:left="0" w:right="-24"/>
              <w:jc w:val="center"/>
              <w:rPr>
                <w:rFonts w:ascii="Arial" w:hAnsi="Arial" w:cs="Arial"/>
                <w:sz w:val="22"/>
                <w:szCs w:val="22"/>
                <w:lang w:val="en-US"/>
              </w:rPr>
            </w:pPr>
            <w:r w:rsidRPr="004B076B">
              <w:rPr>
                <w:rFonts w:ascii="Arial" w:hAnsi="Arial" w:cs="Arial"/>
                <w:sz w:val="22"/>
                <w:szCs w:val="22"/>
                <w:lang w:val="en-US"/>
              </w:rPr>
              <w:t>500</w:t>
            </w:r>
          </w:p>
          <w:p w14:paraId="3D785481" w14:textId="77777777" w:rsidR="005009C1" w:rsidRPr="004B076B" w:rsidRDefault="005009C1" w:rsidP="005009C1">
            <w:pPr>
              <w:pStyle w:val="ListParagraph"/>
              <w:pBdr>
                <w:bottom w:val="single" w:sz="12" w:space="1" w:color="auto"/>
              </w:pBdr>
              <w:ind w:left="0" w:right="-24"/>
              <w:jc w:val="center"/>
              <w:rPr>
                <w:rFonts w:ascii="Arial" w:hAnsi="Arial" w:cs="Arial"/>
                <w:sz w:val="22"/>
                <w:szCs w:val="22"/>
                <w:lang w:val="en-US"/>
              </w:rPr>
            </w:pPr>
            <w:r w:rsidRPr="004B076B">
              <w:rPr>
                <w:rFonts w:ascii="Arial" w:hAnsi="Arial" w:cs="Arial"/>
                <w:sz w:val="22"/>
                <w:szCs w:val="22"/>
                <w:lang w:val="en-US"/>
              </w:rPr>
              <w:t>(300)</w:t>
            </w:r>
          </w:p>
          <w:p w14:paraId="1EA8A9CE" w14:textId="77777777" w:rsidR="005009C1" w:rsidRPr="004B076B" w:rsidRDefault="005009C1" w:rsidP="005009C1">
            <w:pPr>
              <w:pStyle w:val="ListParagraph"/>
              <w:ind w:left="0" w:right="-24"/>
              <w:jc w:val="center"/>
              <w:rPr>
                <w:rFonts w:ascii="Arial" w:hAnsi="Arial" w:cs="Arial"/>
                <w:sz w:val="22"/>
                <w:szCs w:val="22"/>
                <w:lang w:val="en-US"/>
              </w:rPr>
            </w:pPr>
            <w:r w:rsidRPr="004B076B">
              <w:rPr>
                <w:rFonts w:ascii="Arial" w:hAnsi="Arial" w:cs="Arial"/>
                <w:sz w:val="22"/>
                <w:szCs w:val="22"/>
                <w:lang w:val="en-US"/>
              </w:rPr>
              <w:t>200</w:t>
            </w:r>
          </w:p>
          <w:p w14:paraId="26BC8629" w14:textId="77777777" w:rsidR="005009C1" w:rsidRPr="004B076B" w:rsidRDefault="005009C1" w:rsidP="005009C1">
            <w:pPr>
              <w:pStyle w:val="ListParagraph"/>
              <w:pBdr>
                <w:bottom w:val="single" w:sz="12" w:space="1" w:color="auto"/>
              </w:pBdr>
              <w:ind w:left="0" w:right="-24"/>
              <w:jc w:val="center"/>
              <w:rPr>
                <w:rFonts w:ascii="Arial" w:hAnsi="Arial" w:cs="Arial"/>
                <w:sz w:val="22"/>
                <w:szCs w:val="22"/>
                <w:lang w:val="en-US"/>
              </w:rPr>
            </w:pPr>
            <w:r w:rsidRPr="004B076B">
              <w:rPr>
                <w:rFonts w:ascii="Arial" w:hAnsi="Arial" w:cs="Arial"/>
                <w:sz w:val="22"/>
                <w:szCs w:val="22"/>
                <w:lang w:val="en-US"/>
              </w:rPr>
              <w:t>(60)</w:t>
            </w:r>
          </w:p>
          <w:p w14:paraId="28F943E4" w14:textId="77777777" w:rsidR="005009C1" w:rsidRPr="004B076B" w:rsidRDefault="005009C1" w:rsidP="005009C1">
            <w:pPr>
              <w:pStyle w:val="ListParagraph"/>
              <w:ind w:left="0" w:right="-24"/>
              <w:jc w:val="center"/>
              <w:rPr>
                <w:rFonts w:ascii="Arial" w:hAnsi="Arial" w:cs="Arial"/>
                <w:sz w:val="22"/>
                <w:szCs w:val="22"/>
                <w:lang w:val="en-US"/>
              </w:rPr>
            </w:pPr>
            <w:r w:rsidRPr="004B076B">
              <w:rPr>
                <w:rFonts w:ascii="Arial" w:hAnsi="Arial" w:cs="Arial"/>
                <w:sz w:val="22"/>
                <w:szCs w:val="22"/>
                <w:lang w:val="en-US"/>
              </w:rPr>
              <w:t>140</w:t>
            </w:r>
          </w:p>
          <w:p w14:paraId="6B2ACDC1" w14:textId="77777777" w:rsidR="005009C1" w:rsidRPr="004B076B" w:rsidRDefault="005009C1" w:rsidP="005009C1">
            <w:pPr>
              <w:pStyle w:val="ListParagraph"/>
              <w:pBdr>
                <w:bottom w:val="single" w:sz="12" w:space="1" w:color="auto"/>
              </w:pBdr>
              <w:ind w:left="0" w:right="-24"/>
              <w:jc w:val="center"/>
              <w:rPr>
                <w:rFonts w:ascii="Arial" w:hAnsi="Arial" w:cs="Arial"/>
                <w:sz w:val="22"/>
                <w:szCs w:val="22"/>
                <w:lang w:val="en-US"/>
              </w:rPr>
            </w:pPr>
            <w:r w:rsidRPr="004B076B">
              <w:rPr>
                <w:rFonts w:ascii="Arial" w:hAnsi="Arial" w:cs="Arial"/>
                <w:sz w:val="22"/>
                <w:szCs w:val="22"/>
                <w:lang w:val="en-US"/>
              </w:rPr>
              <w:t>(28)</w:t>
            </w:r>
          </w:p>
          <w:p w14:paraId="5A000E9B" w14:textId="0B5A7B2A" w:rsidR="005009C1" w:rsidRPr="004B076B" w:rsidRDefault="005009C1" w:rsidP="005009C1">
            <w:pPr>
              <w:pStyle w:val="ListParagraph"/>
              <w:ind w:left="0" w:right="-24"/>
              <w:jc w:val="center"/>
              <w:rPr>
                <w:rFonts w:ascii="Arial" w:hAnsi="Arial" w:cs="Arial"/>
                <w:sz w:val="22"/>
                <w:szCs w:val="22"/>
                <w:lang w:val="en-US"/>
              </w:rPr>
            </w:pPr>
            <w:r w:rsidRPr="004B076B">
              <w:rPr>
                <w:rFonts w:ascii="Arial" w:hAnsi="Arial" w:cs="Arial"/>
                <w:sz w:val="22"/>
                <w:szCs w:val="22"/>
                <w:lang w:val="en-US"/>
              </w:rPr>
              <w:t>112</w:t>
            </w:r>
          </w:p>
        </w:tc>
        <w:tc>
          <w:tcPr>
            <w:tcW w:w="2425" w:type="dxa"/>
          </w:tcPr>
          <w:p w14:paraId="084436DD" w14:textId="77777777" w:rsidR="005009C1" w:rsidRPr="004B076B" w:rsidRDefault="005009C1" w:rsidP="005009C1">
            <w:pPr>
              <w:pStyle w:val="ListParagraph"/>
              <w:ind w:left="0" w:right="-24"/>
              <w:jc w:val="center"/>
              <w:rPr>
                <w:rFonts w:ascii="Arial" w:hAnsi="Arial" w:cs="Arial"/>
                <w:sz w:val="22"/>
                <w:szCs w:val="22"/>
                <w:lang w:val="en-US"/>
              </w:rPr>
            </w:pPr>
            <w:r w:rsidRPr="004B076B">
              <w:rPr>
                <w:rFonts w:ascii="Arial" w:hAnsi="Arial" w:cs="Arial"/>
                <w:sz w:val="22"/>
                <w:szCs w:val="22"/>
                <w:lang w:val="en-US"/>
              </w:rPr>
              <w:t>300</w:t>
            </w:r>
          </w:p>
          <w:p w14:paraId="69D749C7" w14:textId="77777777" w:rsidR="005009C1" w:rsidRPr="004B076B" w:rsidRDefault="005009C1" w:rsidP="005009C1">
            <w:pPr>
              <w:pStyle w:val="ListParagraph"/>
              <w:pBdr>
                <w:bottom w:val="single" w:sz="12" w:space="1" w:color="auto"/>
              </w:pBdr>
              <w:ind w:left="0" w:right="-24"/>
              <w:jc w:val="center"/>
              <w:rPr>
                <w:rFonts w:ascii="Arial" w:hAnsi="Arial" w:cs="Arial"/>
                <w:sz w:val="22"/>
                <w:szCs w:val="22"/>
                <w:lang w:val="en-US"/>
              </w:rPr>
            </w:pPr>
            <w:r w:rsidRPr="004B076B">
              <w:rPr>
                <w:rFonts w:ascii="Arial" w:hAnsi="Arial" w:cs="Arial"/>
                <w:sz w:val="22"/>
                <w:szCs w:val="22"/>
                <w:lang w:val="en-US"/>
              </w:rPr>
              <w:t>(70)</w:t>
            </w:r>
          </w:p>
          <w:p w14:paraId="001DBADB" w14:textId="77777777" w:rsidR="005009C1" w:rsidRPr="004B076B" w:rsidRDefault="005009C1" w:rsidP="005009C1">
            <w:pPr>
              <w:pStyle w:val="ListParagraph"/>
              <w:ind w:left="0" w:right="-24"/>
              <w:jc w:val="center"/>
              <w:rPr>
                <w:rFonts w:ascii="Arial" w:hAnsi="Arial" w:cs="Arial"/>
                <w:sz w:val="22"/>
                <w:szCs w:val="22"/>
                <w:lang w:val="en-US"/>
              </w:rPr>
            </w:pPr>
            <w:r w:rsidRPr="004B076B">
              <w:rPr>
                <w:rFonts w:ascii="Arial" w:hAnsi="Arial" w:cs="Arial"/>
                <w:sz w:val="22"/>
                <w:szCs w:val="22"/>
                <w:lang w:val="en-US"/>
              </w:rPr>
              <w:t>230</w:t>
            </w:r>
          </w:p>
          <w:p w14:paraId="76EEEC29" w14:textId="77777777" w:rsidR="005009C1" w:rsidRPr="004B076B" w:rsidRDefault="005009C1" w:rsidP="005009C1">
            <w:pPr>
              <w:pStyle w:val="ListParagraph"/>
              <w:pBdr>
                <w:bottom w:val="single" w:sz="12" w:space="1" w:color="auto"/>
              </w:pBdr>
              <w:ind w:left="0" w:right="-24"/>
              <w:jc w:val="center"/>
              <w:rPr>
                <w:rFonts w:ascii="Arial" w:hAnsi="Arial" w:cs="Arial"/>
                <w:sz w:val="22"/>
                <w:szCs w:val="22"/>
                <w:lang w:val="en-US"/>
              </w:rPr>
            </w:pPr>
            <w:r w:rsidRPr="004B076B">
              <w:rPr>
                <w:rFonts w:ascii="Arial" w:hAnsi="Arial" w:cs="Arial"/>
                <w:sz w:val="22"/>
                <w:szCs w:val="22"/>
                <w:lang w:val="en-US"/>
              </w:rPr>
              <w:t>(80)</w:t>
            </w:r>
          </w:p>
          <w:p w14:paraId="5D118AC2" w14:textId="77777777" w:rsidR="005009C1" w:rsidRPr="004B076B" w:rsidRDefault="005009C1" w:rsidP="005009C1">
            <w:pPr>
              <w:pStyle w:val="ListParagraph"/>
              <w:ind w:left="0" w:right="-24"/>
              <w:jc w:val="center"/>
              <w:rPr>
                <w:rFonts w:ascii="Arial" w:hAnsi="Arial" w:cs="Arial"/>
                <w:sz w:val="22"/>
                <w:szCs w:val="22"/>
                <w:lang w:val="en-US"/>
              </w:rPr>
            </w:pPr>
            <w:r w:rsidRPr="004B076B">
              <w:rPr>
                <w:rFonts w:ascii="Arial" w:hAnsi="Arial" w:cs="Arial"/>
                <w:sz w:val="22"/>
                <w:szCs w:val="22"/>
                <w:lang w:val="en-US"/>
              </w:rPr>
              <w:t>150</w:t>
            </w:r>
          </w:p>
          <w:p w14:paraId="4641659C" w14:textId="77777777" w:rsidR="005009C1" w:rsidRPr="004B076B" w:rsidRDefault="005009C1" w:rsidP="005009C1">
            <w:pPr>
              <w:pStyle w:val="ListParagraph"/>
              <w:pBdr>
                <w:bottom w:val="single" w:sz="12" w:space="1" w:color="auto"/>
              </w:pBdr>
              <w:ind w:left="0" w:right="-24"/>
              <w:jc w:val="center"/>
              <w:rPr>
                <w:rFonts w:ascii="Arial" w:hAnsi="Arial" w:cs="Arial"/>
                <w:sz w:val="22"/>
                <w:szCs w:val="22"/>
                <w:lang w:val="en-US"/>
              </w:rPr>
            </w:pPr>
            <w:r w:rsidRPr="004B076B">
              <w:rPr>
                <w:rFonts w:ascii="Arial" w:hAnsi="Arial" w:cs="Arial"/>
                <w:sz w:val="22"/>
                <w:szCs w:val="22"/>
                <w:lang w:val="en-US"/>
              </w:rPr>
              <w:t>(30)</w:t>
            </w:r>
          </w:p>
          <w:p w14:paraId="4F3D36BC" w14:textId="35EDDEAA" w:rsidR="005009C1" w:rsidRPr="004B076B" w:rsidRDefault="005009C1" w:rsidP="005009C1">
            <w:pPr>
              <w:pStyle w:val="ListParagraph"/>
              <w:ind w:left="0" w:right="-24"/>
              <w:jc w:val="center"/>
              <w:rPr>
                <w:rFonts w:ascii="Arial" w:hAnsi="Arial" w:cs="Arial"/>
                <w:sz w:val="22"/>
                <w:szCs w:val="22"/>
                <w:lang w:val="en-US"/>
              </w:rPr>
            </w:pPr>
            <w:r w:rsidRPr="004B076B">
              <w:rPr>
                <w:rFonts w:ascii="Arial" w:hAnsi="Arial" w:cs="Arial"/>
                <w:sz w:val="22"/>
                <w:szCs w:val="22"/>
                <w:lang w:val="en-US"/>
              </w:rPr>
              <w:t>120</w:t>
            </w:r>
          </w:p>
        </w:tc>
        <w:tc>
          <w:tcPr>
            <w:tcW w:w="2425" w:type="dxa"/>
          </w:tcPr>
          <w:p w14:paraId="19EF1E11" w14:textId="77777777" w:rsidR="005009C1" w:rsidRPr="004B076B" w:rsidRDefault="005009C1" w:rsidP="005009C1">
            <w:pPr>
              <w:pStyle w:val="ListParagraph"/>
              <w:ind w:left="0" w:right="-24"/>
              <w:jc w:val="center"/>
              <w:rPr>
                <w:rFonts w:ascii="Arial" w:hAnsi="Arial" w:cs="Arial"/>
                <w:sz w:val="22"/>
                <w:szCs w:val="22"/>
                <w:lang w:val="en-US"/>
              </w:rPr>
            </w:pPr>
            <w:r w:rsidRPr="004B076B">
              <w:rPr>
                <w:rFonts w:ascii="Arial" w:hAnsi="Arial" w:cs="Arial"/>
                <w:sz w:val="22"/>
                <w:szCs w:val="22"/>
                <w:lang w:val="en-US"/>
              </w:rPr>
              <w:t>200</w:t>
            </w:r>
          </w:p>
          <w:p w14:paraId="5D5C0C65" w14:textId="77777777" w:rsidR="005009C1" w:rsidRPr="004B076B" w:rsidRDefault="005009C1" w:rsidP="005009C1">
            <w:pPr>
              <w:pStyle w:val="ListParagraph"/>
              <w:pBdr>
                <w:bottom w:val="single" w:sz="12" w:space="1" w:color="auto"/>
              </w:pBdr>
              <w:ind w:left="0" w:right="-24"/>
              <w:jc w:val="center"/>
              <w:rPr>
                <w:rFonts w:ascii="Arial" w:hAnsi="Arial" w:cs="Arial"/>
                <w:sz w:val="22"/>
                <w:szCs w:val="22"/>
                <w:lang w:val="en-US"/>
              </w:rPr>
            </w:pPr>
            <w:r w:rsidRPr="004B076B">
              <w:rPr>
                <w:rFonts w:ascii="Arial" w:hAnsi="Arial" w:cs="Arial"/>
                <w:sz w:val="22"/>
                <w:szCs w:val="22"/>
                <w:lang w:val="en-US"/>
              </w:rPr>
              <w:t>(120)</w:t>
            </w:r>
          </w:p>
          <w:p w14:paraId="25FB5FA4" w14:textId="77777777" w:rsidR="005009C1" w:rsidRPr="004B076B" w:rsidRDefault="005009C1" w:rsidP="005009C1">
            <w:pPr>
              <w:pStyle w:val="ListParagraph"/>
              <w:ind w:left="0" w:right="-24"/>
              <w:jc w:val="center"/>
              <w:rPr>
                <w:rFonts w:ascii="Arial" w:hAnsi="Arial" w:cs="Arial"/>
                <w:sz w:val="22"/>
                <w:szCs w:val="22"/>
                <w:lang w:val="en-US"/>
              </w:rPr>
            </w:pPr>
            <w:r w:rsidRPr="004B076B">
              <w:rPr>
                <w:rFonts w:ascii="Arial" w:hAnsi="Arial" w:cs="Arial"/>
                <w:sz w:val="22"/>
                <w:szCs w:val="22"/>
                <w:lang w:val="en-US"/>
              </w:rPr>
              <w:t>80</w:t>
            </w:r>
          </w:p>
          <w:p w14:paraId="2429F11C" w14:textId="77777777" w:rsidR="005009C1" w:rsidRPr="004B076B" w:rsidRDefault="005009C1" w:rsidP="005009C1">
            <w:pPr>
              <w:pStyle w:val="ListParagraph"/>
              <w:pBdr>
                <w:bottom w:val="single" w:sz="12" w:space="1" w:color="auto"/>
              </w:pBdr>
              <w:ind w:left="0" w:right="-24"/>
              <w:jc w:val="center"/>
              <w:rPr>
                <w:rFonts w:ascii="Arial" w:hAnsi="Arial" w:cs="Arial"/>
                <w:sz w:val="22"/>
                <w:szCs w:val="22"/>
                <w:lang w:val="en-US"/>
              </w:rPr>
            </w:pPr>
            <w:r w:rsidRPr="004B076B">
              <w:rPr>
                <w:rFonts w:ascii="Arial" w:hAnsi="Arial" w:cs="Arial"/>
                <w:sz w:val="22"/>
                <w:szCs w:val="22"/>
                <w:lang w:val="en-US"/>
              </w:rPr>
              <w:t>(60)</w:t>
            </w:r>
          </w:p>
          <w:p w14:paraId="570490EA" w14:textId="77777777" w:rsidR="005009C1" w:rsidRPr="004B076B" w:rsidRDefault="005009C1" w:rsidP="005009C1">
            <w:pPr>
              <w:pStyle w:val="ListParagraph"/>
              <w:ind w:left="0" w:right="-24"/>
              <w:jc w:val="center"/>
              <w:rPr>
                <w:rFonts w:ascii="Arial" w:hAnsi="Arial" w:cs="Arial"/>
                <w:sz w:val="22"/>
                <w:szCs w:val="22"/>
                <w:lang w:val="en-US"/>
              </w:rPr>
            </w:pPr>
            <w:r w:rsidRPr="004B076B">
              <w:rPr>
                <w:rFonts w:ascii="Arial" w:hAnsi="Arial" w:cs="Arial"/>
                <w:sz w:val="22"/>
                <w:szCs w:val="22"/>
                <w:lang w:val="en-US"/>
              </w:rPr>
              <w:t>20</w:t>
            </w:r>
          </w:p>
          <w:p w14:paraId="3A81FE9A" w14:textId="77777777" w:rsidR="005009C1" w:rsidRPr="004B076B" w:rsidRDefault="005009C1" w:rsidP="005009C1">
            <w:pPr>
              <w:pStyle w:val="ListParagraph"/>
              <w:pBdr>
                <w:bottom w:val="single" w:sz="12" w:space="1" w:color="auto"/>
              </w:pBdr>
              <w:ind w:left="0" w:right="-24"/>
              <w:jc w:val="center"/>
              <w:rPr>
                <w:rFonts w:ascii="Arial" w:hAnsi="Arial" w:cs="Arial"/>
                <w:sz w:val="22"/>
                <w:szCs w:val="22"/>
                <w:lang w:val="en-US"/>
              </w:rPr>
            </w:pPr>
            <w:r w:rsidRPr="004B076B">
              <w:rPr>
                <w:rFonts w:ascii="Arial" w:hAnsi="Arial" w:cs="Arial"/>
                <w:sz w:val="22"/>
                <w:szCs w:val="22"/>
                <w:lang w:val="en-US"/>
              </w:rPr>
              <w:t>(4)</w:t>
            </w:r>
          </w:p>
          <w:p w14:paraId="7A69AFBF" w14:textId="410E7A07" w:rsidR="005009C1" w:rsidRPr="004B076B" w:rsidRDefault="005009C1" w:rsidP="005009C1">
            <w:pPr>
              <w:pStyle w:val="ListParagraph"/>
              <w:ind w:left="0" w:right="-24"/>
              <w:jc w:val="center"/>
              <w:rPr>
                <w:rFonts w:ascii="Arial" w:hAnsi="Arial" w:cs="Arial"/>
                <w:sz w:val="22"/>
                <w:szCs w:val="22"/>
                <w:lang w:val="en-US"/>
              </w:rPr>
            </w:pPr>
            <w:r w:rsidRPr="004B076B">
              <w:rPr>
                <w:rFonts w:ascii="Arial" w:hAnsi="Arial" w:cs="Arial"/>
                <w:sz w:val="22"/>
                <w:szCs w:val="22"/>
                <w:lang w:val="en-US"/>
              </w:rPr>
              <w:t>16</w:t>
            </w:r>
          </w:p>
        </w:tc>
      </w:tr>
    </w:tbl>
    <w:p w14:paraId="79C2ACF8" w14:textId="77777777" w:rsidR="005009C1" w:rsidRPr="004B076B" w:rsidRDefault="005009C1" w:rsidP="005009C1">
      <w:pPr>
        <w:pStyle w:val="ListParagraph"/>
        <w:ind w:right="-24"/>
        <w:jc w:val="both"/>
        <w:rPr>
          <w:rFonts w:ascii="Arial" w:hAnsi="Arial" w:cs="Arial"/>
        </w:rPr>
      </w:pPr>
      <w:r w:rsidRPr="004B076B">
        <w:rPr>
          <w:rFonts w:ascii="Arial" w:hAnsi="Arial" w:cs="Arial"/>
        </w:rPr>
        <w:t xml:space="preserve">The non-controlling interest is calculated using the fair value method. On 30 June 20X7, fair values were as follows: </w:t>
      </w:r>
    </w:p>
    <w:p w14:paraId="118B6F97" w14:textId="77777777" w:rsidR="005009C1" w:rsidRPr="004B076B" w:rsidRDefault="005009C1" w:rsidP="005009C1">
      <w:pPr>
        <w:pStyle w:val="ListParagraph"/>
        <w:ind w:right="-24"/>
        <w:jc w:val="both"/>
        <w:rPr>
          <w:rFonts w:ascii="Arial" w:hAnsi="Arial" w:cs="Arial"/>
        </w:rPr>
      </w:pPr>
      <w:r w:rsidRPr="004B076B">
        <w:rPr>
          <w:rFonts w:ascii="Arial" w:hAnsi="Arial" w:cs="Arial"/>
        </w:rPr>
        <w:sym w:font="Symbol" w:char="F0B7"/>
      </w:r>
      <w:r w:rsidRPr="004B076B">
        <w:rPr>
          <w:rFonts w:ascii="Arial" w:hAnsi="Arial" w:cs="Arial"/>
        </w:rPr>
        <w:t xml:space="preserve"> Byrne’s identifiable net assets – $200,000 </w:t>
      </w:r>
    </w:p>
    <w:p w14:paraId="3D4D1FA1" w14:textId="77777777" w:rsidR="005009C1" w:rsidRPr="004B076B" w:rsidRDefault="005009C1" w:rsidP="005009C1">
      <w:pPr>
        <w:pStyle w:val="ListParagraph"/>
        <w:ind w:right="-24"/>
        <w:jc w:val="both"/>
        <w:rPr>
          <w:rFonts w:ascii="Arial" w:hAnsi="Arial" w:cs="Arial"/>
        </w:rPr>
      </w:pPr>
      <w:r w:rsidRPr="004B076B">
        <w:rPr>
          <w:rFonts w:ascii="Arial" w:hAnsi="Arial" w:cs="Arial"/>
        </w:rPr>
        <w:sym w:font="Symbol" w:char="F0B7"/>
      </w:r>
      <w:r w:rsidRPr="004B076B">
        <w:rPr>
          <w:rFonts w:ascii="Arial" w:hAnsi="Arial" w:cs="Arial"/>
        </w:rPr>
        <w:t xml:space="preserve"> The non-controlling interest in Byrne – $100,000 </w:t>
      </w:r>
    </w:p>
    <w:p w14:paraId="274B2EBB" w14:textId="77777777" w:rsidR="005009C1" w:rsidRPr="004B076B" w:rsidRDefault="005009C1" w:rsidP="005009C1">
      <w:pPr>
        <w:pStyle w:val="ListParagraph"/>
        <w:ind w:right="-24"/>
        <w:jc w:val="both"/>
        <w:rPr>
          <w:rFonts w:ascii="Arial" w:hAnsi="Arial" w:cs="Arial"/>
        </w:rPr>
      </w:pPr>
      <w:r w:rsidRPr="004B076B">
        <w:rPr>
          <w:rFonts w:ascii="Arial" w:hAnsi="Arial" w:cs="Arial"/>
        </w:rPr>
        <w:sym w:font="Symbol" w:char="F0B7"/>
      </w:r>
      <w:r w:rsidRPr="004B076B">
        <w:rPr>
          <w:rFonts w:ascii="Arial" w:hAnsi="Arial" w:cs="Arial"/>
        </w:rPr>
        <w:t xml:space="preserve"> The original 10% investment in Byrne – $26,000 </w:t>
      </w:r>
    </w:p>
    <w:p w14:paraId="1D721AF7" w14:textId="022D7B98" w:rsidR="005009C1" w:rsidRPr="004B076B" w:rsidRDefault="005009C1" w:rsidP="005009C1">
      <w:pPr>
        <w:pStyle w:val="ListParagraph"/>
        <w:ind w:right="-24"/>
        <w:jc w:val="both"/>
        <w:rPr>
          <w:rFonts w:ascii="Arial" w:hAnsi="Arial" w:cs="Arial"/>
          <w:sz w:val="22"/>
          <w:szCs w:val="22"/>
          <w:lang w:val="en-US"/>
        </w:rPr>
      </w:pPr>
      <w:r w:rsidRPr="004B076B">
        <w:rPr>
          <w:rFonts w:ascii="Arial" w:hAnsi="Arial" w:cs="Arial"/>
        </w:rPr>
        <w:t xml:space="preserve">Prepare the consolidated statement of profit or loss for the </w:t>
      </w:r>
      <w:r w:rsidR="00416370">
        <w:rPr>
          <w:rFonts w:ascii="Arial" w:hAnsi="Arial" w:cs="Arial"/>
        </w:rPr>
        <w:t>Aron</w:t>
      </w:r>
      <w:r w:rsidRPr="004B076B">
        <w:rPr>
          <w:rFonts w:ascii="Arial" w:hAnsi="Arial" w:cs="Arial"/>
        </w:rPr>
        <w:t xml:space="preserve"> Group for the year ended 31 December 20X7 and calculate the goodwill arising on the acquisition of Byrne.</w:t>
      </w:r>
    </w:p>
    <w:p w14:paraId="505044F8" w14:textId="676A460C" w:rsidR="00677D4E" w:rsidRPr="004B076B" w:rsidRDefault="00677D4E" w:rsidP="00857296">
      <w:pPr>
        <w:spacing w:after="0"/>
        <w:jc w:val="center"/>
        <w:rPr>
          <w:rFonts w:ascii="Arial" w:hAnsi="Arial" w:cs="Arial"/>
          <w:sz w:val="22"/>
          <w:szCs w:val="22"/>
          <w:lang w:val="en-US"/>
        </w:rPr>
      </w:pPr>
    </w:p>
    <w:sectPr w:rsidR="00677D4E" w:rsidRPr="004B076B" w:rsidSect="00A70193">
      <w:footerReference w:type="default" r:id="rId8"/>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8A564" w14:textId="77777777" w:rsidR="00A70193" w:rsidRDefault="00A70193" w:rsidP="002811F7">
      <w:pPr>
        <w:spacing w:after="0" w:line="240" w:lineRule="auto"/>
      </w:pPr>
      <w:r>
        <w:separator/>
      </w:r>
    </w:p>
  </w:endnote>
  <w:endnote w:type="continuationSeparator" w:id="0">
    <w:p w14:paraId="74D19EFC" w14:textId="77777777" w:rsidR="00A70193" w:rsidRDefault="00A70193" w:rsidP="00281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4479234"/>
      <w:docPartObj>
        <w:docPartGallery w:val="Page Numbers (Bottom of Page)"/>
        <w:docPartUnique/>
      </w:docPartObj>
    </w:sdtPr>
    <w:sdtEndPr>
      <w:rPr>
        <w:noProof/>
      </w:rPr>
    </w:sdtEndPr>
    <w:sdtContent>
      <w:p w14:paraId="122D8400" w14:textId="3113C8E3" w:rsidR="002811F7" w:rsidRDefault="002811F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7F9429" w14:textId="77777777" w:rsidR="002811F7" w:rsidRDefault="002811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F1B4E" w14:textId="77777777" w:rsidR="00A70193" w:rsidRDefault="00A70193" w:rsidP="002811F7">
      <w:pPr>
        <w:spacing w:after="0" w:line="240" w:lineRule="auto"/>
      </w:pPr>
      <w:r>
        <w:separator/>
      </w:r>
    </w:p>
  </w:footnote>
  <w:footnote w:type="continuationSeparator" w:id="0">
    <w:p w14:paraId="73C2571D" w14:textId="77777777" w:rsidR="00A70193" w:rsidRDefault="00A70193" w:rsidP="002811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1A69"/>
    <w:multiLevelType w:val="hybridMultilevel"/>
    <w:tmpl w:val="0AFA72D8"/>
    <w:lvl w:ilvl="0" w:tplc="657CB854">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03783249"/>
    <w:multiLevelType w:val="hybridMultilevel"/>
    <w:tmpl w:val="3206623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A8D77D3"/>
    <w:multiLevelType w:val="hybridMultilevel"/>
    <w:tmpl w:val="75801B24"/>
    <w:lvl w:ilvl="0" w:tplc="DAC45404">
      <w:start w:val="1"/>
      <w:numFmt w:val="lowerRoman"/>
      <w:lvlText w:val="(%1)"/>
      <w:lvlJc w:val="left"/>
      <w:pPr>
        <w:ind w:left="1440" w:hanging="720"/>
      </w:pPr>
      <w:rPr>
        <w:rFonts w:hint="default"/>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220B3661"/>
    <w:multiLevelType w:val="hybridMultilevel"/>
    <w:tmpl w:val="EDC2D6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3F517E3"/>
    <w:multiLevelType w:val="hybridMultilevel"/>
    <w:tmpl w:val="0F14E5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4452AEC"/>
    <w:multiLevelType w:val="hybridMultilevel"/>
    <w:tmpl w:val="97E806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CCC3AE8"/>
    <w:multiLevelType w:val="hybridMultilevel"/>
    <w:tmpl w:val="08200C20"/>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15:restartNumberingAfterBreak="0">
    <w:nsid w:val="317C25AE"/>
    <w:multiLevelType w:val="hybridMultilevel"/>
    <w:tmpl w:val="663EAD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19603E7"/>
    <w:multiLevelType w:val="hybridMultilevel"/>
    <w:tmpl w:val="E0D6ED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6690B31"/>
    <w:multiLevelType w:val="hybridMultilevel"/>
    <w:tmpl w:val="5C2209CE"/>
    <w:lvl w:ilvl="0" w:tplc="29749BE6">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37EA5679"/>
    <w:multiLevelType w:val="hybridMultilevel"/>
    <w:tmpl w:val="59D835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FAF60A4"/>
    <w:multiLevelType w:val="hybridMultilevel"/>
    <w:tmpl w:val="9D184D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2742251"/>
    <w:multiLevelType w:val="hybridMultilevel"/>
    <w:tmpl w:val="004EFC6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377722F"/>
    <w:multiLevelType w:val="hybridMultilevel"/>
    <w:tmpl w:val="F710E5CC"/>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F677192"/>
    <w:multiLevelType w:val="hybridMultilevel"/>
    <w:tmpl w:val="AA4C98CA"/>
    <w:lvl w:ilvl="0" w:tplc="43F8F03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254159C"/>
    <w:multiLevelType w:val="hybridMultilevel"/>
    <w:tmpl w:val="6D12C40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15:restartNumberingAfterBreak="0">
    <w:nsid w:val="550E46CB"/>
    <w:multiLevelType w:val="hybridMultilevel"/>
    <w:tmpl w:val="EDC2D6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9BC241A"/>
    <w:multiLevelType w:val="hybridMultilevel"/>
    <w:tmpl w:val="ED50CB6C"/>
    <w:lvl w:ilvl="0" w:tplc="4B8A40D8">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15:restartNumberingAfterBreak="0">
    <w:nsid w:val="6AC7231B"/>
    <w:multiLevelType w:val="hybridMultilevel"/>
    <w:tmpl w:val="6B24CA36"/>
    <w:lvl w:ilvl="0" w:tplc="1E5ADD38">
      <w:start w:val="2"/>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6BFA3548"/>
    <w:multiLevelType w:val="hybridMultilevel"/>
    <w:tmpl w:val="6AD2580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70EF5C88"/>
    <w:multiLevelType w:val="hybridMultilevel"/>
    <w:tmpl w:val="5ED8FA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28B1055"/>
    <w:multiLevelType w:val="hybridMultilevel"/>
    <w:tmpl w:val="D954F322"/>
    <w:lvl w:ilvl="0" w:tplc="4009000F">
      <w:start w:val="10"/>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768350825">
    <w:abstractNumId w:val="8"/>
  </w:num>
  <w:num w:numId="2" w16cid:durableId="163201723">
    <w:abstractNumId w:val="11"/>
  </w:num>
  <w:num w:numId="3" w16cid:durableId="1376195893">
    <w:abstractNumId w:val="10"/>
  </w:num>
  <w:num w:numId="4" w16cid:durableId="1462648452">
    <w:abstractNumId w:val="12"/>
  </w:num>
  <w:num w:numId="5" w16cid:durableId="1734936277">
    <w:abstractNumId w:val="15"/>
  </w:num>
  <w:num w:numId="6" w16cid:durableId="780690632">
    <w:abstractNumId w:val="14"/>
  </w:num>
  <w:num w:numId="7" w16cid:durableId="364714569">
    <w:abstractNumId w:val="4"/>
  </w:num>
  <w:num w:numId="8" w16cid:durableId="830876725">
    <w:abstractNumId w:val="1"/>
  </w:num>
  <w:num w:numId="9" w16cid:durableId="1993479800">
    <w:abstractNumId w:val="7"/>
  </w:num>
  <w:num w:numId="10" w16cid:durableId="1014302888">
    <w:abstractNumId w:val="13"/>
  </w:num>
  <w:num w:numId="11" w16cid:durableId="1978804273">
    <w:abstractNumId w:val="6"/>
  </w:num>
  <w:num w:numId="12" w16cid:durableId="1466656577">
    <w:abstractNumId w:val="2"/>
  </w:num>
  <w:num w:numId="13" w16cid:durableId="476996882">
    <w:abstractNumId w:val="20"/>
  </w:num>
  <w:num w:numId="14" w16cid:durableId="907762848">
    <w:abstractNumId w:val="17"/>
  </w:num>
  <w:num w:numId="15" w16cid:durableId="1795446283">
    <w:abstractNumId w:val="5"/>
  </w:num>
  <w:num w:numId="16" w16cid:durableId="222445806">
    <w:abstractNumId w:val="0"/>
  </w:num>
  <w:num w:numId="17" w16cid:durableId="1214197183">
    <w:abstractNumId w:val="19"/>
  </w:num>
  <w:num w:numId="18" w16cid:durableId="15813667">
    <w:abstractNumId w:val="18"/>
  </w:num>
  <w:num w:numId="19" w16cid:durableId="642075662">
    <w:abstractNumId w:val="21"/>
  </w:num>
  <w:num w:numId="20" w16cid:durableId="966274964">
    <w:abstractNumId w:val="16"/>
  </w:num>
  <w:num w:numId="21" w16cid:durableId="1863277227">
    <w:abstractNumId w:val="9"/>
  </w:num>
  <w:num w:numId="22" w16cid:durableId="19699710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E8B"/>
    <w:rsid w:val="00007A7F"/>
    <w:rsid w:val="00037F44"/>
    <w:rsid w:val="00045C44"/>
    <w:rsid w:val="00073E98"/>
    <w:rsid w:val="000A57DF"/>
    <w:rsid w:val="000A7FEC"/>
    <w:rsid w:val="000C3191"/>
    <w:rsid w:val="000D543D"/>
    <w:rsid w:val="000D6EA1"/>
    <w:rsid w:val="00100C4C"/>
    <w:rsid w:val="00111E73"/>
    <w:rsid w:val="00132754"/>
    <w:rsid w:val="0015647F"/>
    <w:rsid w:val="00172B4C"/>
    <w:rsid w:val="001A4C25"/>
    <w:rsid w:val="001E0245"/>
    <w:rsid w:val="001F6BAA"/>
    <w:rsid w:val="00201EB5"/>
    <w:rsid w:val="00206061"/>
    <w:rsid w:val="00210245"/>
    <w:rsid w:val="00240E62"/>
    <w:rsid w:val="002543E1"/>
    <w:rsid w:val="00273ADB"/>
    <w:rsid w:val="002811F7"/>
    <w:rsid w:val="002A060B"/>
    <w:rsid w:val="002C13F4"/>
    <w:rsid w:val="002D1211"/>
    <w:rsid w:val="002F68A5"/>
    <w:rsid w:val="00342F33"/>
    <w:rsid w:val="0039699E"/>
    <w:rsid w:val="003A75AD"/>
    <w:rsid w:val="003A75DC"/>
    <w:rsid w:val="003B1A48"/>
    <w:rsid w:val="003C226F"/>
    <w:rsid w:val="003E610C"/>
    <w:rsid w:val="003E7967"/>
    <w:rsid w:val="00416370"/>
    <w:rsid w:val="0045715E"/>
    <w:rsid w:val="004822A8"/>
    <w:rsid w:val="004932CC"/>
    <w:rsid w:val="004A2100"/>
    <w:rsid w:val="004B076B"/>
    <w:rsid w:val="004B1B2B"/>
    <w:rsid w:val="004C188C"/>
    <w:rsid w:val="004C6454"/>
    <w:rsid w:val="004C7B99"/>
    <w:rsid w:val="004D5DEB"/>
    <w:rsid w:val="004E332A"/>
    <w:rsid w:val="004F3330"/>
    <w:rsid w:val="005009C1"/>
    <w:rsid w:val="005025BA"/>
    <w:rsid w:val="00510AEA"/>
    <w:rsid w:val="00526E59"/>
    <w:rsid w:val="00566823"/>
    <w:rsid w:val="00571449"/>
    <w:rsid w:val="00582F9C"/>
    <w:rsid w:val="005C6424"/>
    <w:rsid w:val="005F5B0C"/>
    <w:rsid w:val="00604BD6"/>
    <w:rsid w:val="00612DCF"/>
    <w:rsid w:val="00630ABF"/>
    <w:rsid w:val="0063327B"/>
    <w:rsid w:val="00635C4C"/>
    <w:rsid w:val="006375B3"/>
    <w:rsid w:val="006454EA"/>
    <w:rsid w:val="00647C10"/>
    <w:rsid w:val="00661B69"/>
    <w:rsid w:val="00662D1B"/>
    <w:rsid w:val="00675E09"/>
    <w:rsid w:val="00677D4E"/>
    <w:rsid w:val="006A1914"/>
    <w:rsid w:val="006A3842"/>
    <w:rsid w:val="006B2272"/>
    <w:rsid w:val="006D326E"/>
    <w:rsid w:val="006D4EF5"/>
    <w:rsid w:val="006E67F1"/>
    <w:rsid w:val="007016B1"/>
    <w:rsid w:val="007061A7"/>
    <w:rsid w:val="00747956"/>
    <w:rsid w:val="0075374B"/>
    <w:rsid w:val="00760E27"/>
    <w:rsid w:val="00771316"/>
    <w:rsid w:val="00782DFE"/>
    <w:rsid w:val="007B0930"/>
    <w:rsid w:val="007B22AB"/>
    <w:rsid w:val="007B6DE9"/>
    <w:rsid w:val="007C0444"/>
    <w:rsid w:val="007C6B99"/>
    <w:rsid w:val="007D4521"/>
    <w:rsid w:val="007F318E"/>
    <w:rsid w:val="008138D6"/>
    <w:rsid w:val="008363D8"/>
    <w:rsid w:val="0085302E"/>
    <w:rsid w:val="00857296"/>
    <w:rsid w:val="0086466F"/>
    <w:rsid w:val="0087566A"/>
    <w:rsid w:val="008840C6"/>
    <w:rsid w:val="008B7751"/>
    <w:rsid w:val="008C0ABE"/>
    <w:rsid w:val="008C2F92"/>
    <w:rsid w:val="008E45E9"/>
    <w:rsid w:val="008E5147"/>
    <w:rsid w:val="008F3707"/>
    <w:rsid w:val="009050F8"/>
    <w:rsid w:val="00920F4A"/>
    <w:rsid w:val="00931A8E"/>
    <w:rsid w:val="0095496D"/>
    <w:rsid w:val="009915E0"/>
    <w:rsid w:val="00993D27"/>
    <w:rsid w:val="0099621E"/>
    <w:rsid w:val="009A5B5A"/>
    <w:rsid w:val="009A737F"/>
    <w:rsid w:val="009B651E"/>
    <w:rsid w:val="009B7351"/>
    <w:rsid w:val="009C26D5"/>
    <w:rsid w:val="009F2421"/>
    <w:rsid w:val="00A0731E"/>
    <w:rsid w:val="00A25995"/>
    <w:rsid w:val="00A562EF"/>
    <w:rsid w:val="00A63882"/>
    <w:rsid w:val="00A65178"/>
    <w:rsid w:val="00A70193"/>
    <w:rsid w:val="00A70E5E"/>
    <w:rsid w:val="00A75CC4"/>
    <w:rsid w:val="00A97EC7"/>
    <w:rsid w:val="00AA237E"/>
    <w:rsid w:val="00AA550B"/>
    <w:rsid w:val="00AA6BC3"/>
    <w:rsid w:val="00AB2DAB"/>
    <w:rsid w:val="00AC29B9"/>
    <w:rsid w:val="00AC4284"/>
    <w:rsid w:val="00AC6C8B"/>
    <w:rsid w:val="00B06E32"/>
    <w:rsid w:val="00B10454"/>
    <w:rsid w:val="00B12E4B"/>
    <w:rsid w:val="00B20228"/>
    <w:rsid w:val="00B353B8"/>
    <w:rsid w:val="00B67FDA"/>
    <w:rsid w:val="00B70681"/>
    <w:rsid w:val="00B709E5"/>
    <w:rsid w:val="00B71B32"/>
    <w:rsid w:val="00B8312D"/>
    <w:rsid w:val="00BA5D2A"/>
    <w:rsid w:val="00BC2BF7"/>
    <w:rsid w:val="00BC40DD"/>
    <w:rsid w:val="00BC7641"/>
    <w:rsid w:val="00BD76DF"/>
    <w:rsid w:val="00BF0E8B"/>
    <w:rsid w:val="00BF214C"/>
    <w:rsid w:val="00BF5908"/>
    <w:rsid w:val="00C049A9"/>
    <w:rsid w:val="00C05D73"/>
    <w:rsid w:val="00C17091"/>
    <w:rsid w:val="00C170C6"/>
    <w:rsid w:val="00C17D7B"/>
    <w:rsid w:val="00C21B1E"/>
    <w:rsid w:val="00C21C63"/>
    <w:rsid w:val="00C276FE"/>
    <w:rsid w:val="00C4525C"/>
    <w:rsid w:val="00C45844"/>
    <w:rsid w:val="00C85671"/>
    <w:rsid w:val="00C96118"/>
    <w:rsid w:val="00CB2AF6"/>
    <w:rsid w:val="00CC0B29"/>
    <w:rsid w:val="00D0368B"/>
    <w:rsid w:val="00D2021D"/>
    <w:rsid w:val="00D24486"/>
    <w:rsid w:val="00D6390E"/>
    <w:rsid w:val="00D933AA"/>
    <w:rsid w:val="00DA347B"/>
    <w:rsid w:val="00DB2834"/>
    <w:rsid w:val="00DB3D28"/>
    <w:rsid w:val="00DC6338"/>
    <w:rsid w:val="00DF0987"/>
    <w:rsid w:val="00E013A9"/>
    <w:rsid w:val="00E043A7"/>
    <w:rsid w:val="00E10CB0"/>
    <w:rsid w:val="00E1209C"/>
    <w:rsid w:val="00E149A6"/>
    <w:rsid w:val="00E339FD"/>
    <w:rsid w:val="00E55772"/>
    <w:rsid w:val="00E562D5"/>
    <w:rsid w:val="00E57123"/>
    <w:rsid w:val="00E96699"/>
    <w:rsid w:val="00EA6AE3"/>
    <w:rsid w:val="00EB4B83"/>
    <w:rsid w:val="00EB741B"/>
    <w:rsid w:val="00ED07EC"/>
    <w:rsid w:val="00ED4350"/>
    <w:rsid w:val="00ED4529"/>
    <w:rsid w:val="00F00118"/>
    <w:rsid w:val="00F048A8"/>
    <w:rsid w:val="00F150E7"/>
    <w:rsid w:val="00F42BA6"/>
    <w:rsid w:val="00F54237"/>
    <w:rsid w:val="00F628C8"/>
    <w:rsid w:val="00F73ED2"/>
    <w:rsid w:val="00F74EEB"/>
    <w:rsid w:val="00F75F98"/>
    <w:rsid w:val="00F771AC"/>
    <w:rsid w:val="00F953BF"/>
    <w:rsid w:val="00FC401D"/>
    <w:rsid w:val="00FF3410"/>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2E8EE"/>
  <w15:chartTrackingRefBased/>
  <w15:docId w15:val="{3FD50FDC-6C4C-4DC2-AF7C-201D24086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 Antiqua" w:eastAsiaTheme="minorHAnsi" w:hAnsi="Book Antiqua" w:cstheme="minorBidi"/>
        <w:sz w:val="24"/>
        <w:szCs w:val="24"/>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4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5844"/>
    <w:pPr>
      <w:ind w:left="720"/>
      <w:contextualSpacing/>
    </w:pPr>
  </w:style>
  <w:style w:type="table" w:styleId="TableGrid">
    <w:name w:val="Table Grid"/>
    <w:basedOn w:val="TableNormal"/>
    <w:uiPriority w:val="39"/>
    <w:rsid w:val="00111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11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11F7"/>
  </w:style>
  <w:style w:type="paragraph" w:styleId="Footer">
    <w:name w:val="footer"/>
    <w:basedOn w:val="Normal"/>
    <w:link w:val="FooterChar"/>
    <w:uiPriority w:val="99"/>
    <w:unhideWhenUsed/>
    <w:rsid w:val="002811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11F7"/>
  </w:style>
  <w:style w:type="paragraph" w:styleId="NormalWeb">
    <w:name w:val="Normal (Web)"/>
    <w:basedOn w:val="Normal"/>
    <w:uiPriority w:val="99"/>
    <w:unhideWhenUsed/>
    <w:rsid w:val="007016B1"/>
    <w:pPr>
      <w:spacing w:before="100" w:beforeAutospacing="1" w:after="100" w:afterAutospacing="1" w:line="240" w:lineRule="auto"/>
    </w:pPr>
    <w:rPr>
      <w:rFonts w:ascii="Times New Roman" w:eastAsia="Times New Roman" w:hAnsi="Times New Roman" w:cs="Times New Roman"/>
      <w:lang w:eastAsia="en-IN" w:bidi="ta-IN"/>
    </w:rPr>
  </w:style>
  <w:style w:type="character" w:styleId="Strong">
    <w:name w:val="Strong"/>
    <w:basedOn w:val="DefaultParagraphFont"/>
    <w:uiPriority w:val="22"/>
    <w:qFormat/>
    <w:rsid w:val="007016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45179">
      <w:bodyDiv w:val="1"/>
      <w:marLeft w:val="0"/>
      <w:marRight w:val="0"/>
      <w:marTop w:val="0"/>
      <w:marBottom w:val="0"/>
      <w:divBdr>
        <w:top w:val="none" w:sz="0" w:space="0" w:color="auto"/>
        <w:left w:val="none" w:sz="0" w:space="0" w:color="auto"/>
        <w:bottom w:val="none" w:sz="0" w:space="0" w:color="auto"/>
        <w:right w:val="none" w:sz="0" w:space="0" w:color="auto"/>
      </w:divBdr>
    </w:div>
    <w:div w:id="28135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3</Pages>
  <Words>1082</Words>
  <Characters>6170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Fathima Farzana</dc:creator>
  <cp:keywords/>
  <dc:description/>
  <cp:lastModifiedBy>Fathima Farzana</cp:lastModifiedBy>
  <cp:revision>9</cp:revision>
  <dcterms:created xsi:type="dcterms:W3CDTF">2024-03-11T05:43:00Z</dcterms:created>
  <dcterms:modified xsi:type="dcterms:W3CDTF">2024-03-12T14:58:00Z</dcterms:modified>
</cp:coreProperties>
</file>